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BDE" w:rsidRDefault="00E36BDE" w:rsidP="00E36BDE">
      <w:pPr>
        <w:pStyle w:val="Title"/>
        <w:jc w:val="center"/>
      </w:pPr>
    </w:p>
    <w:p w:rsidR="00E36BDE" w:rsidRDefault="00E36BDE" w:rsidP="00E36BDE">
      <w:pPr>
        <w:pStyle w:val="Title"/>
        <w:jc w:val="center"/>
      </w:pPr>
    </w:p>
    <w:p w:rsidR="00E36BDE" w:rsidRDefault="00E36BDE" w:rsidP="00E36BDE">
      <w:pPr>
        <w:pStyle w:val="Title"/>
        <w:jc w:val="center"/>
      </w:pPr>
    </w:p>
    <w:p w:rsidR="00E36BDE" w:rsidRDefault="00E36BDE" w:rsidP="00E36BDE">
      <w:pPr>
        <w:pStyle w:val="Title"/>
        <w:jc w:val="center"/>
      </w:pPr>
    </w:p>
    <w:p w:rsidR="006A7DF3" w:rsidRDefault="006A7DF3" w:rsidP="00E36BDE">
      <w:pPr>
        <w:pStyle w:val="Title"/>
        <w:jc w:val="center"/>
      </w:pPr>
      <w:r w:rsidRPr="006A7DF3">
        <w:t>AFRICAN MUSIC RESOURCE DEVELOPMENT AND APPLICATION</w:t>
      </w:r>
    </w:p>
    <w:p w:rsidR="006A7DF3" w:rsidRPr="006A7DF3" w:rsidRDefault="006A7DF3" w:rsidP="006A7DF3">
      <w:pPr>
        <w:jc w:val="center"/>
        <w:rPr>
          <w:sz w:val="28"/>
        </w:rPr>
      </w:pPr>
    </w:p>
    <w:p w:rsidR="006A7DF3" w:rsidRPr="006A7DF3" w:rsidRDefault="006A7DF3" w:rsidP="006A7DF3">
      <w:pPr>
        <w:pStyle w:val="Subtitle"/>
        <w:jc w:val="center"/>
        <w:rPr>
          <w:b/>
          <w:sz w:val="32"/>
        </w:rPr>
      </w:pPr>
      <w:r w:rsidRPr="006A7DF3">
        <w:rPr>
          <w:b/>
          <w:sz w:val="32"/>
        </w:rPr>
        <w:t>REPORT OF ISME SPONSORED PHASE TWO OF THE AFRICAN MUSIC EDUCATION PROJECT</w:t>
      </w:r>
      <w:r w:rsidR="0098379B">
        <w:rPr>
          <w:b/>
          <w:sz w:val="32"/>
        </w:rPr>
        <w:t>- AMEP</w:t>
      </w:r>
    </w:p>
    <w:p w:rsidR="006A7DF3" w:rsidRDefault="006A7DF3" w:rsidP="006A7DF3">
      <w:pPr>
        <w:jc w:val="center"/>
        <w:rPr>
          <w:b/>
          <w:sz w:val="28"/>
        </w:rPr>
      </w:pPr>
    </w:p>
    <w:p w:rsidR="006A7DF3" w:rsidRDefault="006A7DF3" w:rsidP="006A7DF3">
      <w:pPr>
        <w:jc w:val="center"/>
        <w:rPr>
          <w:b/>
          <w:sz w:val="28"/>
        </w:rPr>
      </w:pPr>
    </w:p>
    <w:p w:rsidR="006A7DF3" w:rsidRPr="006A7DF3" w:rsidRDefault="006A7DF3" w:rsidP="006A7DF3">
      <w:pPr>
        <w:jc w:val="center"/>
        <w:rPr>
          <w:b/>
          <w:sz w:val="28"/>
        </w:rPr>
      </w:pPr>
      <w:r w:rsidRPr="006A7DF3">
        <w:rPr>
          <w:b/>
          <w:sz w:val="28"/>
        </w:rPr>
        <w:t>SUBMITTED TO</w:t>
      </w:r>
    </w:p>
    <w:p w:rsidR="006A7DF3" w:rsidRDefault="006A7DF3" w:rsidP="006A7DF3">
      <w:pPr>
        <w:jc w:val="center"/>
        <w:rPr>
          <w:b/>
          <w:sz w:val="28"/>
        </w:rPr>
      </w:pPr>
      <w:r w:rsidRPr="006A7DF3">
        <w:rPr>
          <w:b/>
          <w:sz w:val="28"/>
        </w:rPr>
        <w:t>ISME PRESIDENT – 2012-2014</w:t>
      </w:r>
    </w:p>
    <w:p w:rsidR="00E00B1B" w:rsidRDefault="00E00B1B" w:rsidP="006A7DF3">
      <w:pPr>
        <w:jc w:val="center"/>
        <w:rPr>
          <w:b/>
          <w:sz w:val="28"/>
        </w:rPr>
      </w:pPr>
    </w:p>
    <w:p w:rsidR="00E36BDE" w:rsidRDefault="00E36BDE" w:rsidP="006A7DF3">
      <w:pPr>
        <w:jc w:val="center"/>
        <w:rPr>
          <w:b/>
          <w:sz w:val="28"/>
        </w:rPr>
      </w:pPr>
    </w:p>
    <w:p w:rsidR="00E00B1B" w:rsidRDefault="00AE39AA" w:rsidP="006A7DF3">
      <w:pPr>
        <w:jc w:val="center"/>
        <w:rPr>
          <w:b/>
          <w:sz w:val="28"/>
        </w:rPr>
      </w:pPr>
      <w:r>
        <w:rPr>
          <w:b/>
          <w:sz w:val="28"/>
        </w:rPr>
        <w:t>By</w:t>
      </w:r>
    </w:p>
    <w:p w:rsidR="00E36BDE" w:rsidRDefault="00E36BDE" w:rsidP="006A7DF3">
      <w:pPr>
        <w:jc w:val="center"/>
        <w:rPr>
          <w:b/>
          <w:sz w:val="28"/>
        </w:rPr>
      </w:pPr>
    </w:p>
    <w:p w:rsidR="0098379B" w:rsidRPr="0098379B" w:rsidRDefault="008E674C" w:rsidP="0098379B">
      <w:pPr>
        <w:jc w:val="center"/>
        <w:rPr>
          <w:b/>
          <w:sz w:val="32"/>
        </w:rPr>
      </w:pPr>
      <w:r w:rsidRPr="0098379B">
        <w:rPr>
          <w:b/>
          <w:sz w:val="24"/>
        </w:rPr>
        <w:t xml:space="preserve">Emily Achieng’ AKUNO </w:t>
      </w:r>
      <w:r w:rsidR="0098379B" w:rsidRPr="0098379B">
        <w:rPr>
          <w:b/>
          <w:sz w:val="24"/>
        </w:rPr>
        <w:t xml:space="preserve">- </w:t>
      </w:r>
      <w:r w:rsidRPr="0098379B">
        <w:rPr>
          <w:b/>
          <w:sz w:val="24"/>
        </w:rPr>
        <w:t xml:space="preserve">Co-ordinator, </w:t>
      </w:r>
      <w:r w:rsidR="0098379B" w:rsidRPr="0098379B">
        <w:rPr>
          <w:b/>
          <w:sz w:val="32"/>
        </w:rPr>
        <w:t>AMEP Team</w:t>
      </w:r>
    </w:p>
    <w:p w:rsidR="008E674C" w:rsidRDefault="008E674C" w:rsidP="00AE39AA">
      <w:pPr>
        <w:pStyle w:val="NoSpacing"/>
        <w:spacing w:line="276" w:lineRule="auto"/>
        <w:ind w:left="720" w:firstLine="720"/>
        <w:rPr>
          <w:rFonts w:asciiTheme="minorHAnsi" w:hAnsiTheme="minorHAnsi"/>
        </w:rPr>
      </w:pPr>
    </w:p>
    <w:p w:rsidR="00E36BDE" w:rsidRDefault="00E36BDE" w:rsidP="00AE39AA">
      <w:pPr>
        <w:pStyle w:val="NoSpacing"/>
        <w:spacing w:line="276" w:lineRule="auto"/>
        <w:ind w:left="720" w:firstLine="720"/>
        <w:rPr>
          <w:rFonts w:asciiTheme="minorHAnsi" w:hAnsiTheme="minorHAnsi"/>
        </w:rPr>
      </w:pPr>
    </w:p>
    <w:p w:rsidR="00E00B1B" w:rsidRDefault="00E00B1B">
      <w:pPr>
        <w:rPr>
          <w:b/>
          <w:sz w:val="28"/>
        </w:rPr>
      </w:pPr>
    </w:p>
    <w:p w:rsidR="00AE39AA" w:rsidRDefault="00AE39AA" w:rsidP="00AE39AA">
      <w:pPr>
        <w:jc w:val="center"/>
        <w:rPr>
          <w:b/>
          <w:sz w:val="28"/>
        </w:rPr>
      </w:pPr>
      <w:r>
        <w:rPr>
          <w:b/>
          <w:sz w:val="28"/>
        </w:rPr>
        <w:t>21</w:t>
      </w:r>
      <w:r w:rsidRPr="00E00B1B">
        <w:rPr>
          <w:b/>
          <w:sz w:val="28"/>
          <w:vertAlign w:val="superscript"/>
        </w:rPr>
        <w:t>st</w:t>
      </w:r>
      <w:r>
        <w:rPr>
          <w:b/>
          <w:sz w:val="28"/>
        </w:rPr>
        <w:t xml:space="preserve"> September 2014</w:t>
      </w:r>
    </w:p>
    <w:p w:rsidR="00AE39AA" w:rsidRDefault="00AE39AA" w:rsidP="00AE39AA">
      <w:pPr>
        <w:jc w:val="center"/>
        <w:rPr>
          <w:b/>
          <w:sz w:val="28"/>
        </w:rPr>
      </w:pPr>
    </w:p>
    <w:p w:rsidR="00AE39AA" w:rsidRDefault="00AE39AA">
      <w:pPr>
        <w:rPr>
          <w:rFonts w:asciiTheme="majorHAnsi" w:eastAsiaTheme="majorEastAsia" w:hAnsiTheme="majorHAnsi" w:cstheme="majorBidi"/>
          <w:b/>
          <w:bCs/>
          <w:color w:val="365F91" w:themeColor="accent1" w:themeShade="BF"/>
          <w:sz w:val="28"/>
          <w:szCs w:val="28"/>
        </w:rPr>
      </w:pPr>
      <w:r>
        <w:br w:type="page"/>
      </w:r>
    </w:p>
    <w:p w:rsidR="00E00B1B" w:rsidRDefault="00E00B1B" w:rsidP="00E00B1B">
      <w:pPr>
        <w:pStyle w:val="Heading1"/>
      </w:pPr>
      <w:r w:rsidRPr="00E00B1B">
        <w:lastRenderedPageBreak/>
        <w:t>AFRICAN MUSIC RESOURCE DEVELOPMENT AND APPLICATION</w:t>
      </w:r>
    </w:p>
    <w:p w:rsidR="00E00B1B" w:rsidRDefault="00E00B1B" w:rsidP="00E00B1B">
      <w:pPr>
        <w:pStyle w:val="Heading2"/>
      </w:pPr>
      <w:r>
        <w:t>Acknowledgement</w:t>
      </w:r>
    </w:p>
    <w:p w:rsidR="00E00B1B" w:rsidRDefault="00E00B1B" w:rsidP="00E00B1B">
      <w:r>
        <w:t>When in 2012 the President of SEMPRE, Prof. Graham Welch challenged me to come up with a project that could make a difference to music education in Africa, I did not realise the potential magnitude of such an undertaking. I wish to thank him for the initiative, and SEMPRE for the sponsorship of the first phase of the project that covered a baseline survey on the presence of mu</w:t>
      </w:r>
      <w:r w:rsidR="00626D13">
        <w:t>sic in primary schools, and the</w:t>
      </w:r>
      <w:r>
        <w:t xml:space="preserve"> nature of children’s music experiences. </w:t>
      </w:r>
    </w:p>
    <w:p w:rsidR="00E00B1B" w:rsidRDefault="00E00B1B" w:rsidP="00E00B1B">
      <w:r>
        <w:t xml:space="preserve">In July 2013, ISME Board consented to take on </w:t>
      </w:r>
      <w:r w:rsidR="006B1D51">
        <w:t xml:space="preserve">the </w:t>
      </w:r>
      <w:r>
        <w:t>sponsorship of the second phase of the project,</w:t>
      </w:r>
      <w:r w:rsidR="006B1D51">
        <w:t xml:space="preserve"> and this has been completed. I thank the Board for this generous offer that has seen us come up with some resources and indicators of how these can be used to ensure children’s meaningful engagement with music in the early years of primary schooling.</w:t>
      </w:r>
    </w:p>
    <w:p w:rsidR="00E36BDE" w:rsidRPr="00E00B1B" w:rsidRDefault="00E36BDE" w:rsidP="00E00B1B">
      <w:r>
        <w:t>I wish to thank members of the team for working extra hard to see this phase of the project completed, even as they strove to fulfil their daily responsibilities amid other challenges.  The material so far collected is the start of what should be a wonderful Africa-wide project, and I hope we can see it grow. Thank you for being the pioneers.</w:t>
      </w:r>
    </w:p>
    <w:p w:rsidR="00626D13" w:rsidRDefault="00626D13">
      <w:pPr>
        <w:rPr>
          <w:rFonts w:asciiTheme="majorHAnsi" w:eastAsiaTheme="majorEastAsia" w:hAnsiTheme="majorHAnsi" w:cstheme="majorBidi"/>
          <w:b/>
          <w:bCs/>
          <w:color w:val="4F81BD" w:themeColor="accent1"/>
          <w:sz w:val="26"/>
          <w:szCs w:val="26"/>
        </w:rPr>
      </w:pPr>
      <w:r>
        <w:br w:type="page"/>
      </w:r>
    </w:p>
    <w:p w:rsidR="00626D13" w:rsidRDefault="00626D13" w:rsidP="00626D13">
      <w:pPr>
        <w:pStyle w:val="Heading1"/>
      </w:pPr>
      <w:r w:rsidRPr="00E00B1B">
        <w:lastRenderedPageBreak/>
        <w:t>AFRICAN MUSIC RESOURCE DEVELOPMENT AND APPLICATION</w:t>
      </w:r>
    </w:p>
    <w:p w:rsidR="00E00B1B" w:rsidRDefault="00626D13" w:rsidP="00E00B1B">
      <w:pPr>
        <w:pStyle w:val="Heading2"/>
      </w:pPr>
      <w:r>
        <w:t>1.0</w:t>
      </w:r>
      <w:r>
        <w:tab/>
      </w:r>
      <w:r w:rsidR="00E00B1B">
        <w:t>Preamble</w:t>
      </w:r>
    </w:p>
    <w:p w:rsidR="00626D13" w:rsidRPr="00626D13" w:rsidRDefault="00626D13" w:rsidP="003970D1">
      <w:pPr>
        <w:rPr>
          <w:b/>
        </w:rPr>
      </w:pPr>
      <w:r w:rsidRPr="00626D13">
        <w:rPr>
          <w:b/>
        </w:rPr>
        <w:t>1.1</w:t>
      </w:r>
      <w:r w:rsidRPr="00626D13">
        <w:rPr>
          <w:b/>
        </w:rPr>
        <w:tab/>
        <w:t>Previous Phase</w:t>
      </w:r>
    </w:p>
    <w:p w:rsidR="003970D1" w:rsidRPr="00346C49" w:rsidRDefault="00E00B1B" w:rsidP="003970D1">
      <w:r>
        <w:t>The African Mus</w:t>
      </w:r>
      <w:r w:rsidR="003970D1">
        <w:t>ic Education Project started in 2013 in Kenya, South Africa and Zambia.</w:t>
      </w:r>
      <w:r w:rsidR="00221668">
        <w:t xml:space="preserve"> </w:t>
      </w:r>
      <w:r w:rsidR="003970D1" w:rsidRPr="00346C49">
        <w:t>Focusing on selected scho</w:t>
      </w:r>
      <w:r w:rsidR="003970D1">
        <w:t>ols in the three countries, the first</w:t>
      </w:r>
      <w:r w:rsidR="003970D1" w:rsidRPr="00346C49">
        <w:t xml:space="preserve"> Phase was primarily a baseline survey that served to determine the presence and types of music activities in primary schools in East and Southern Africa, with emphasis on what children did in the name of music or music education. The specific objective for this Phase was to enhance children’s participation in music and other activities, premised on the assumption that music, being a socialising activity, would draw learners to be more active. The focus was on lower primary school, the initial years of schooling</w:t>
      </w:r>
      <w:r w:rsidR="003970D1">
        <w:t>, elsewhere called Foundation Phase</w:t>
      </w:r>
      <w:r w:rsidR="003970D1" w:rsidRPr="00346C49">
        <w:t>.</w:t>
      </w:r>
    </w:p>
    <w:p w:rsidR="003970D1" w:rsidRPr="00346C49" w:rsidRDefault="00E36BDE" w:rsidP="003970D1">
      <w:r>
        <w:t>This survey</w:t>
      </w:r>
      <w:r w:rsidR="001B52F4">
        <w:t xml:space="preserve"> established </w:t>
      </w:r>
      <w:r w:rsidR="003970D1" w:rsidRPr="00346C49">
        <w:t>the following:</w:t>
      </w:r>
    </w:p>
    <w:p w:rsidR="003970D1" w:rsidRPr="00346C49" w:rsidRDefault="003970D1" w:rsidP="003970D1">
      <w:r w:rsidRPr="00346C49">
        <w:rPr>
          <w:i/>
        </w:rPr>
        <w:t>1. Music in the curriculum</w:t>
      </w:r>
      <w:r>
        <w:rPr>
          <w:i/>
        </w:rPr>
        <w:t xml:space="preserve">: </w:t>
      </w:r>
      <w:r w:rsidRPr="00346C49">
        <w:t>Each country has music stated as a curricular subject. It is a compos</w:t>
      </w:r>
      <w:r>
        <w:t>ite creative subject, where the</w:t>
      </w:r>
      <w:r w:rsidRPr="00346C49">
        <w:t xml:space="preserve"> practice of music does not reflect what the curriculum anticipates.</w:t>
      </w:r>
    </w:p>
    <w:p w:rsidR="003970D1" w:rsidRPr="00346C49" w:rsidRDefault="003970D1" w:rsidP="003970D1">
      <w:r w:rsidRPr="00346C49">
        <w:rPr>
          <w:i/>
        </w:rPr>
        <w:t>2. Teacher profile:</w:t>
      </w:r>
      <w:r>
        <w:t xml:space="preserve"> Two things stand out: a teacher’s a</w:t>
      </w:r>
      <w:r w:rsidRPr="00346C49">
        <w:t>bility</w:t>
      </w:r>
      <w:r>
        <w:t xml:space="preserve"> is marked by </w:t>
      </w:r>
      <w:r w:rsidRPr="00346C49">
        <w:t>limited musical knowledge</w:t>
      </w:r>
      <w:r>
        <w:t>, with generalist teachers handling music in class, whilst their</w:t>
      </w:r>
      <w:r w:rsidRPr="00346C49">
        <w:t xml:space="preserve"> </w:t>
      </w:r>
      <w:r>
        <w:t>a</w:t>
      </w:r>
      <w:r w:rsidRPr="00346C49">
        <w:t>ttitude</w:t>
      </w:r>
      <w:r>
        <w:t xml:space="preserve"> portrays marked </w:t>
      </w:r>
      <w:r w:rsidRPr="00346C49">
        <w:t>misconception regarding their music ability</w:t>
      </w:r>
      <w:r>
        <w:t xml:space="preserve">, with the </w:t>
      </w:r>
      <w:r w:rsidRPr="00346C49">
        <w:t>notion that music can be taught by some people who can play piano</w:t>
      </w:r>
      <w:r>
        <w:t xml:space="preserve">, although most are </w:t>
      </w:r>
      <w:r w:rsidRPr="00346C49">
        <w:t>enthusiastic to use music in their teaching</w:t>
      </w:r>
      <w:r>
        <w:t>.</w:t>
      </w:r>
    </w:p>
    <w:p w:rsidR="003970D1" w:rsidRPr="00346C49" w:rsidRDefault="003970D1" w:rsidP="003970D1">
      <w:r w:rsidRPr="00346C49">
        <w:rPr>
          <w:i/>
        </w:rPr>
        <w:t xml:space="preserve">3. Resources: </w:t>
      </w:r>
      <w:r>
        <w:t xml:space="preserve"> There’s a general la</w:t>
      </w:r>
      <w:r w:rsidRPr="00346C49">
        <w:t>ck of adequate resources</w:t>
      </w:r>
      <w:r>
        <w:t xml:space="preserve">, occasioned by </w:t>
      </w:r>
      <w:r w:rsidRPr="00346C49">
        <w:t>limited funding for music (and other arts)</w:t>
      </w:r>
      <w:r>
        <w:t xml:space="preserve"> and lack of skills to adapt what is available for classroom use.</w:t>
      </w:r>
    </w:p>
    <w:p w:rsidR="003970D1" w:rsidRPr="00346C49" w:rsidRDefault="003970D1" w:rsidP="003970D1">
      <w:r w:rsidRPr="00346C49">
        <w:rPr>
          <w:i/>
        </w:rPr>
        <w:t>4. Learning activities:</w:t>
      </w:r>
      <w:r>
        <w:t xml:space="preserve">  In these countries, </w:t>
      </w:r>
      <w:r w:rsidRPr="00346C49">
        <w:t xml:space="preserve">music </w:t>
      </w:r>
      <w:r>
        <w:t xml:space="preserve">is primarily </w:t>
      </w:r>
      <w:r w:rsidRPr="00346C49">
        <w:t>conceptualized as singing</w:t>
      </w:r>
      <w:r>
        <w:t xml:space="preserve">, and so </w:t>
      </w:r>
      <w:r w:rsidRPr="00346C49">
        <w:t>songs and dances abound in school</w:t>
      </w:r>
      <w:r>
        <w:t>.  Since they are p</w:t>
      </w:r>
      <w:r w:rsidRPr="00346C49">
        <w:t>oorly resourced</w:t>
      </w:r>
      <w:r>
        <w:t xml:space="preserve">, the </w:t>
      </w:r>
      <w:r w:rsidRPr="00346C49">
        <w:t>actual transfer of music knowledge through teaching is minimal</w:t>
      </w:r>
      <w:r>
        <w:t>.</w:t>
      </w:r>
    </w:p>
    <w:p w:rsidR="003970D1" w:rsidRPr="00346C49" w:rsidRDefault="003970D1" w:rsidP="003970D1">
      <w:r w:rsidRPr="00346C49">
        <w:rPr>
          <w:i/>
        </w:rPr>
        <w:t>5. Teacher and learner response:</w:t>
      </w:r>
      <w:r>
        <w:t xml:space="preserve"> There is </w:t>
      </w:r>
      <w:r w:rsidRPr="00346C49">
        <w:t xml:space="preserve">goodwill </w:t>
      </w:r>
      <w:r>
        <w:t>from teachers to have music entrenched</w:t>
      </w:r>
      <w:r w:rsidRPr="00346C49">
        <w:t xml:space="preserve"> in </w:t>
      </w:r>
      <w:r>
        <w:t xml:space="preserve">the </w:t>
      </w:r>
      <w:r w:rsidRPr="00346C49">
        <w:t>curriculum</w:t>
      </w:r>
      <w:r>
        <w:t xml:space="preserve">.  </w:t>
      </w:r>
      <w:r w:rsidRPr="00346C49">
        <w:t>Pupils</w:t>
      </w:r>
      <w:r>
        <w:t xml:space="preserve"> are</w:t>
      </w:r>
      <w:r w:rsidRPr="00346C49">
        <w:t xml:space="preserve"> interested in music study and performance</w:t>
      </w:r>
      <w:r>
        <w:t xml:space="preserve">, and teachers indicate a desire for the integration of music </w:t>
      </w:r>
      <w:r w:rsidRPr="00346C49">
        <w:t>in all areas of learning</w:t>
      </w:r>
      <w:r>
        <w:t>.</w:t>
      </w:r>
    </w:p>
    <w:p w:rsidR="003970D1" w:rsidRPr="001B52F4" w:rsidRDefault="003970D1" w:rsidP="003970D1">
      <w:r w:rsidRPr="00346C49">
        <w:rPr>
          <w:i/>
        </w:rPr>
        <w:t>6. Impact and value</w:t>
      </w:r>
      <w:r>
        <w:rPr>
          <w:i/>
        </w:rPr>
        <w:t xml:space="preserve">: </w:t>
      </w:r>
      <w:r w:rsidRPr="00346C49">
        <w:t xml:space="preserve">Music </w:t>
      </w:r>
      <w:r>
        <w:t xml:space="preserve">is </w:t>
      </w:r>
      <w:r w:rsidRPr="00346C49">
        <w:t>valued for facilitating wider learning</w:t>
      </w:r>
      <w:r>
        <w:t xml:space="preserve">.  This </w:t>
      </w:r>
      <w:r w:rsidRPr="00346C49">
        <w:t xml:space="preserve">creates </w:t>
      </w:r>
      <w:r>
        <w:t xml:space="preserve">a </w:t>
      </w:r>
      <w:r w:rsidRPr="00346C49">
        <w:t>need for the training of specialist teachers of music, or teachers with skills to use music in education</w:t>
      </w:r>
      <w:r>
        <w:t>.  It also creates a need for the provision of readily usable resources</w:t>
      </w:r>
      <w:r w:rsidRPr="00346C49">
        <w:t>.</w:t>
      </w:r>
    </w:p>
    <w:p w:rsidR="00626D13" w:rsidRPr="00626D13" w:rsidRDefault="00626D13" w:rsidP="003970D1">
      <w:pPr>
        <w:rPr>
          <w:b/>
        </w:rPr>
      </w:pPr>
      <w:r>
        <w:rPr>
          <w:b/>
        </w:rPr>
        <w:t>1.2</w:t>
      </w:r>
      <w:r>
        <w:rPr>
          <w:b/>
        </w:rPr>
        <w:tab/>
        <w:t>Current Phase</w:t>
      </w:r>
    </w:p>
    <w:p w:rsidR="00F34C7E" w:rsidRDefault="001B52F4" w:rsidP="003970D1">
      <w:r>
        <w:t>This report is based on activities of the second phase that run from September 2013 – April 2014. From the baseline survey, it emerg</w:t>
      </w:r>
      <w:r w:rsidR="00E36BDE">
        <w:t>ed that there was enthusiasm about</w:t>
      </w:r>
      <w:r>
        <w:t xml:space="preserve"> the use of music in school. </w:t>
      </w:r>
      <w:r w:rsidR="00E36BDE">
        <w:t xml:space="preserve">This was however not always matched by skills or administrative goodwill and related support.  </w:t>
      </w:r>
      <w:r w:rsidR="003970D1">
        <w:t>In order to provide for the successful</w:t>
      </w:r>
      <w:r w:rsidR="003970D1" w:rsidRPr="00346C49">
        <w:t xml:space="preserve"> teaching of music knowledge and skills</w:t>
      </w:r>
      <w:r w:rsidR="003970D1">
        <w:t>,</w:t>
      </w:r>
      <w:r w:rsidR="003970D1" w:rsidRPr="00346C49">
        <w:t xml:space="preserve"> </w:t>
      </w:r>
      <w:r w:rsidR="003970D1">
        <w:t>it appear</w:t>
      </w:r>
      <w:r>
        <w:t>ed</w:t>
      </w:r>
      <w:r w:rsidR="003970D1">
        <w:t xml:space="preserve"> necessary </w:t>
      </w:r>
      <w:r w:rsidR="003970D1" w:rsidRPr="00346C49">
        <w:t xml:space="preserve">to empower teachers through training and </w:t>
      </w:r>
      <w:r w:rsidR="003970D1">
        <w:t xml:space="preserve">the </w:t>
      </w:r>
      <w:r w:rsidR="003970D1" w:rsidRPr="00346C49">
        <w:t>provision of teaching resources</w:t>
      </w:r>
      <w:r>
        <w:t>.  This called</w:t>
      </w:r>
      <w:r w:rsidR="003970D1">
        <w:t xml:space="preserve"> for the d</w:t>
      </w:r>
      <w:r w:rsidR="003970D1" w:rsidRPr="00346C49">
        <w:t>evelop</w:t>
      </w:r>
      <w:r w:rsidR="003970D1">
        <w:t>ment of</w:t>
      </w:r>
      <w:r w:rsidR="003970D1" w:rsidRPr="00346C49">
        <w:t xml:space="preserve"> social-cultur</w:t>
      </w:r>
      <w:r w:rsidR="003970D1">
        <w:t>a</w:t>
      </w:r>
      <w:r>
        <w:t>lly relevant resources that would</w:t>
      </w:r>
      <w:r w:rsidR="003970D1" w:rsidRPr="00346C49">
        <w:t xml:space="preserve"> appeal to the experiences of the learners and respond to the curriculum needs</w:t>
      </w:r>
      <w:r w:rsidR="003970D1">
        <w:t>.  To this end, the research team propose</w:t>
      </w:r>
      <w:r>
        <w:t>d</w:t>
      </w:r>
      <w:r w:rsidR="003970D1">
        <w:t xml:space="preserve"> to develop a manual to guide the use of the res</w:t>
      </w:r>
      <w:r w:rsidR="003970D1" w:rsidRPr="00346C49">
        <w:t>our</w:t>
      </w:r>
      <w:r w:rsidR="003970D1">
        <w:t>ces in relevant</w:t>
      </w:r>
      <w:r w:rsidR="003970D1" w:rsidRPr="00346C49">
        <w:t xml:space="preserve"> learning activities</w:t>
      </w:r>
      <w:r w:rsidR="003970D1">
        <w:t xml:space="preserve"> in order to support the </w:t>
      </w:r>
      <w:r w:rsidR="003970D1">
        <w:lastRenderedPageBreak/>
        <w:t>learning of</w:t>
      </w:r>
      <w:r w:rsidR="003970D1" w:rsidRPr="00346C49">
        <w:t xml:space="preserve"> music concept</w:t>
      </w:r>
      <w:r>
        <w:t>s.  The team wou</w:t>
      </w:r>
      <w:r w:rsidR="003970D1">
        <w:t>l</w:t>
      </w:r>
      <w:r>
        <w:t>d</w:t>
      </w:r>
      <w:r w:rsidR="003970D1">
        <w:t xml:space="preserve"> then advocate for the </w:t>
      </w:r>
      <w:r w:rsidR="003970D1" w:rsidRPr="00346C49">
        <w:t>appropriat</w:t>
      </w:r>
      <w:r w:rsidR="003970D1">
        <w:t>ion of</w:t>
      </w:r>
      <w:r w:rsidR="003970D1" w:rsidRPr="00346C49">
        <w:t xml:space="preserve"> the developed model for the rest of Africa</w:t>
      </w:r>
      <w:r w:rsidR="003970D1">
        <w:t>.</w:t>
      </w:r>
      <w:r w:rsidR="00F34C7E">
        <w:t xml:space="preserve"> </w:t>
      </w:r>
      <w:r>
        <w:t xml:space="preserve">Following a warm reception by ISME Board, the above purpose was streamlined to fit within available resources.  </w:t>
      </w:r>
    </w:p>
    <w:p w:rsidR="00F34C7E" w:rsidRDefault="0098379B" w:rsidP="00F34C7E">
      <w:pPr>
        <w:pStyle w:val="Heading1"/>
      </w:pPr>
      <w:r>
        <w:t>2.0</w:t>
      </w:r>
      <w:r>
        <w:tab/>
      </w:r>
      <w:r w:rsidR="00F34C7E">
        <w:t>Activities</w:t>
      </w:r>
    </w:p>
    <w:p w:rsidR="001B52F4" w:rsidRDefault="001B52F4" w:rsidP="003970D1">
      <w:r>
        <w:t>The current</w:t>
      </w:r>
      <w:r w:rsidR="00F34C7E">
        <w:t xml:space="preserve"> activities were therefore twofold:  </w:t>
      </w:r>
    </w:p>
    <w:p w:rsidR="00F34C7E" w:rsidRDefault="00F34C7E" w:rsidP="003970D1">
      <w:r>
        <w:t>a. To collect available music material for use with children in primary school in the three countries;</w:t>
      </w:r>
    </w:p>
    <w:p w:rsidR="00F34C7E" w:rsidRDefault="00F34C7E" w:rsidP="003970D1">
      <w:r>
        <w:t>b. To conduct a workshop with teachers of these classes on ways of employing these resources for learners’ music development.</w:t>
      </w:r>
    </w:p>
    <w:p w:rsidR="00F34C7E" w:rsidRDefault="0098379B" w:rsidP="00F34C7E">
      <w:pPr>
        <w:pStyle w:val="Heading1"/>
        <w:rPr>
          <w:b w:val="0"/>
        </w:rPr>
      </w:pPr>
      <w:r>
        <w:t>3.0</w:t>
      </w:r>
      <w:r>
        <w:tab/>
      </w:r>
      <w:r w:rsidR="00F34C7E">
        <w:t>Results</w:t>
      </w:r>
    </w:p>
    <w:p w:rsidR="00F34C7E" w:rsidRDefault="00F34C7E" w:rsidP="00F34C7E">
      <w:r>
        <w:t xml:space="preserve">a. Material Collection was done in all the three countries. </w:t>
      </w:r>
      <w:r w:rsidR="00AE39AA">
        <w:t>In each case</w:t>
      </w:r>
      <w:r>
        <w:t xml:space="preserve">, members of the research team proceeded to </w:t>
      </w:r>
      <w:r w:rsidR="00AE39AA">
        <w:t xml:space="preserve">have the songs </w:t>
      </w:r>
      <w:r>
        <w:t>transcribe</w:t>
      </w:r>
      <w:r w:rsidR="00AE39AA">
        <w:t>d</w:t>
      </w:r>
      <w:r>
        <w:t xml:space="preserve"> into staff notation for ease of access;</w:t>
      </w:r>
    </w:p>
    <w:p w:rsidR="00F34C7E" w:rsidRDefault="00F34C7E" w:rsidP="00F34C7E">
      <w:r>
        <w:t>b. The teacher empowerment workshops took place in Kenya and Zambia</w:t>
      </w:r>
    </w:p>
    <w:p w:rsidR="00F34C7E" w:rsidRDefault="0098379B" w:rsidP="00F34C7E">
      <w:pPr>
        <w:pStyle w:val="Heading1"/>
      </w:pPr>
      <w:r>
        <w:t>4.0</w:t>
      </w:r>
      <w:r>
        <w:tab/>
      </w:r>
      <w:r w:rsidR="00F34C7E">
        <w:t>Outcome</w:t>
      </w:r>
    </w:p>
    <w:p w:rsidR="00855C99" w:rsidRDefault="00F34C7E" w:rsidP="00F34C7E">
      <w:r>
        <w:t xml:space="preserve">a. </w:t>
      </w:r>
      <w:r w:rsidR="00855C99">
        <w:t>The project has realised 52 generalist primary school teachers sensitised on the value of indigenous children’s music as a learning tool for young children;</w:t>
      </w:r>
    </w:p>
    <w:p w:rsidR="00855C99" w:rsidRDefault="00855C99" w:rsidP="00F34C7E">
      <w:r>
        <w:t xml:space="preserve">b. There is a team of motivated generalist teachers eager </w:t>
      </w:r>
      <w:r w:rsidR="00D96ACE">
        <w:t xml:space="preserve">and trying </w:t>
      </w:r>
      <w:r>
        <w:t xml:space="preserve">to use </w:t>
      </w:r>
      <w:r w:rsidR="00D96ACE">
        <w:t xml:space="preserve">indigenous </w:t>
      </w:r>
      <w:r>
        <w:t xml:space="preserve">music </w:t>
      </w:r>
      <w:r w:rsidR="00D96ACE">
        <w:t xml:space="preserve">as a resource </w:t>
      </w:r>
      <w:r>
        <w:t>for primary school</w:t>
      </w:r>
      <w:r w:rsidR="00D96ACE">
        <w:t xml:space="preserve"> education;</w:t>
      </w:r>
    </w:p>
    <w:p w:rsidR="00D96ACE" w:rsidRDefault="00D96ACE" w:rsidP="00F34C7E">
      <w:r>
        <w:t>c. Conceptual grounding for the use of indigenous songs in childhood education;</w:t>
      </w:r>
    </w:p>
    <w:p w:rsidR="00855C99" w:rsidRDefault="0098379B" w:rsidP="00855C99">
      <w:pPr>
        <w:pStyle w:val="Heading1"/>
      </w:pPr>
      <w:r>
        <w:t>5.0</w:t>
      </w:r>
      <w:r>
        <w:tab/>
      </w:r>
      <w:r w:rsidR="00855C99">
        <w:t>Output</w:t>
      </w:r>
    </w:p>
    <w:p w:rsidR="00F34C7E" w:rsidRDefault="00D96ACE" w:rsidP="00F34C7E">
      <w:r>
        <w:t xml:space="preserve">a. </w:t>
      </w:r>
      <w:r w:rsidR="00F34C7E">
        <w:t xml:space="preserve">The project has now put together a total of </w:t>
      </w:r>
      <w:r w:rsidR="00855C99">
        <w:t>25 childhood songs from the three countries, in diverse forms and styles, for diverse socio-cultural application, that have been found usable in the classroom;</w:t>
      </w:r>
    </w:p>
    <w:p w:rsidR="00855C99" w:rsidRDefault="00855C99" w:rsidP="00F34C7E">
      <w:r>
        <w:t>b.</w:t>
      </w:r>
      <w:r w:rsidR="00D96ACE">
        <w:t xml:space="preserve"> There are verified procedures for use of these songs in a culturally enriching and appropriate way for formal education;</w:t>
      </w:r>
    </w:p>
    <w:p w:rsidR="00D96ACE" w:rsidRDefault="00D96ACE" w:rsidP="00F34C7E">
      <w:r>
        <w:t>c. A conceptual underpinning for the developed methodologies</w:t>
      </w:r>
    </w:p>
    <w:p w:rsidR="00D96ACE" w:rsidRDefault="0098379B" w:rsidP="00D96ACE">
      <w:pPr>
        <w:pStyle w:val="Heading1"/>
      </w:pPr>
      <w:r>
        <w:t>6.0</w:t>
      </w:r>
      <w:r>
        <w:tab/>
      </w:r>
      <w:r w:rsidR="00D96ACE">
        <w:t>Dissemination</w:t>
      </w:r>
    </w:p>
    <w:p w:rsidR="00D96ACE" w:rsidRDefault="00D96ACE" w:rsidP="00D96ACE">
      <w:r>
        <w:t>a.</w:t>
      </w:r>
      <w:r w:rsidR="00A35219">
        <w:t xml:space="preserve"> </w:t>
      </w:r>
      <w:r w:rsidR="00E00611">
        <w:t xml:space="preserve"> A workshop at the 31</w:t>
      </w:r>
      <w:r w:rsidR="00E00611" w:rsidRPr="00E00611">
        <w:rPr>
          <w:vertAlign w:val="superscript"/>
        </w:rPr>
        <w:t>st</w:t>
      </w:r>
      <w:r w:rsidR="00E00611">
        <w:t xml:space="preserve"> ISME World Conference on Music Education in Porto </w:t>
      </w:r>
      <w:proofErr w:type="spellStart"/>
      <w:r w:rsidR="00E00611">
        <w:t>Alegre</w:t>
      </w:r>
      <w:proofErr w:type="spellEnd"/>
      <w:r w:rsidR="00E00611">
        <w:t xml:space="preserve">, Brazil, July 2014 </w:t>
      </w:r>
      <w:r w:rsidR="00A35219">
        <w:t xml:space="preserve">outlined the underlying conceptual principles, </w:t>
      </w:r>
      <w:r w:rsidR="00E00611">
        <w:t>demonstrated the teaching procedure and engaged participants in a variety of creative activities that emanate</w:t>
      </w:r>
      <w:r w:rsidR="00A35219">
        <w:t>d</w:t>
      </w:r>
      <w:r w:rsidR="00E00611">
        <w:t xml:space="preserve"> from the use of one of the songs in this study;</w:t>
      </w:r>
    </w:p>
    <w:p w:rsidR="00E00611" w:rsidRDefault="00E00611" w:rsidP="00D96ACE">
      <w:r>
        <w:lastRenderedPageBreak/>
        <w:t>b. There should follow the publication of a comprehensive document that will present the song material and relevant learning activities, proposed as another phase (could not be achieved due to limited funds)</w:t>
      </w:r>
    </w:p>
    <w:p w:rsidR="00E00611" w:rsidRDefault="0098379B" w:rsidP="00E00611">
      <w:pPr>
        <w:pStyle w:val="Heading1"/>
      </w:pPr>
      <w:r>
        <w:t>7.0</w:t>
      </w:r>
      <w:r>
        <w:tab/>
      </w:r>
      <w:r w:rsidR="00E00611">
        <w:t>Way Forward</w:t>
      </w:r>
    </w:p>
    <w:p w:rsidR="008D2AF4" w:rsidRDefault="00E00611" w:rsidP="00E00611">
      <w:r>
        <w:t>It is apparent that there is need to engage with the themes of indigenisation of curriculum as a way of instilling cultural relevance in education through the use of indigenous music. The project to date reveals an uneven playing field for teachers due to various types and levels of teacher education</w:t>
      </w:r>
      <w:r w:rsidR="00A35219">
        <w:t xml:space="preserve"> and administrative support for music education</w:t>
      </w:r>
      <w:r>
        <w:t xml:space="preserve">. It is therefore necessary to provide as much intervention as possible to empower teachers with conceptual, theoretical, technical and practical </w:t>
      </w:r>
      <w:r w:rsidR="008D2AF4">
        <w:t>abilities to make indigenous resources a first port of call for teaching material, and to choose to teach children music.</w:t>
      </w:r>
    </w:p>
    <w:p w:rsidR="008D2AF4" w:rsidRDefault="008D2AF4" w:rsidP="00E00611">
      <w:r>
        <w:t>The project recommends:</w:t>
      </w:r>
    </w:p>
    <w:p w:rsidR="008D2AF4" w:rsidRDefault="008D2AF4" w:rsidP="00E00611">
      <w:r>
        <w:t xml:space="preserve">a. </w:t>
      </w:r>
      <w:r w:rsidR="00A35219">
        <w:t xml:space="preserve">Publication </w:t>
      </w:r>
      <w:r>
        <w:t>of the learning resources and activities developed in this phase;</w:t>
      </w:r>
    </w:p>
    <w:p w:rsidR="008D2AF4" w:rsidRDefault="008D2AF4" w:rsidP="00E00611">
      <w:r>
        <w:t xml:space="preserve">b. </w:t>
      </w:r>
      <w:r w:rsidR="00A35219">
        <w:t xml:space="preserve">Follow </w:t>
      </w:r>
      <w:r>
        <w:t>up of teachers who participated in the workshop for monitoring and support;</w:t>
      </w:r>
    </w:p>
    <w:p w:rsidR="008D2AF4" w:rsidRDefault="008D2AF4" w:rsidP="00E00611">
      <w:r>
        <w:t xml:space="preserve">c. </w:t>
      </w:r>
      <w:r w:rsidR="00A35219">
        <w:t>Conducting a workshop</w:t>
      </w:r>
      <w:r>
        <w:t xml:space="preserve"> in South Africa, where it did not happen;</w:t>
      </w:r>
    </w:p>
    <w:p w:rsidR="00E00611" w:rsidRDefault="008D2AF4" w:rsidP="00E00611">
      <w:r>
        <w:t xml:space="preserve">d. Extension of this phase of the project to other </w:t>
      </w:r>
      <w:proofErr w:type="gramStart"/>
      <w:r>
        <w:t>countries  -</w:t>
      </w:r>
      <w:proofErr w:type="gramEnd"/>
      <w:r>
        <w:t xml:space="preserve"> at least another set of three countries in Africa. </w:t>
      </w:r>
    </w:p>
    <w:p w:rsidR="0061151B" w:rsidRDefault="0098379B" w:rsidP="0061151B">
      <w:pPr>
        <w:pStyle w:val="Heading1"/>
      </w:pPr>
      <w:r>
        <w:t>8.0</w:t>
      </w:r>
      <w:r>
        <w:tab/>
      </w:r>
      <w:r w:rsidR="0061151B">
        <w:t>Financial Report</w:t>
      </w:r>
    </w:p>
    <w:p w:rsidR="004A7963" w:rsidRPr="0098379B" w:rsidRDefault="0098379B" w:rsidP="004A7963">
      <w:pPr>
        <w:rPr>
          <w:b/>
        </w:rPr>
      </w:pPr>
      <w:r w:rsidRPr="0098379B">
        <w:rPr>
          <w:b/>
        </w:rPr>
        <w:t>8.1</w:t>
      </w:r>
      <w:r w:rsidRPr="0098379B">
        <w:rPr>
          <w:b/>
        </w:rPr>
        <w:tab/>
        <w:t>BUDGET</w:t>
      </w:r>
      <w:r w:rsidR="004A7963" w:rsidRPr="0098379B">
        <w:rPr>
          <w:b/>
        </w:rPr>
        <w:t>:</w:t>
      </w:r>
    </w:p>
    <w:tbl>
      <w:tblPr>
        <w:tblStyle w:val="TableGrid"/>
        <w:tblW w:w="0" w:type="auto"/>
        <w:tblLook w:val="04A0"/>
      </w:tblPr>
      <w:tblGrid>
        <w:gridCol w:w="1966"/>
        <w:gridCol w:w="25"/>
        <w:gridCol w:w="4496"/>
        <w:gridCol w:w="1418"/>
        <w:gridCol w:w="1337"/>
      </w:tblGrid>
      <w:tr w:rsidR="004A7963" w:rsidRPr="00D96EC2" w:rsidTr="007F5EE6">
        <w:tc>
          <w:tcPr>
            <w:tcW w:w="6487" w:type="dxa"/>
            <w:gridSpan w:val="3"/>
          </w:tcPr>
          <w:p w:rsidR="004A7963" w:rsidRPr="00D96EC2" w:rsidRDefault="004A7963" w:rsidP="007F5EE6">
            <w:pPr>
              <w:rPr>
                <w:b/>
              </w:rPr>
            </w:pPr>
            <w:r w:rsidRPr="00D96EC2">
              <w:rPr>
                <w:b/>
              </w:rPr>
              <w:t>ITEM DESCRIPTION</w:t>
            </w:r>
          </w:p>
        </w:tc>
        <w:tc>
          <w:tcPr>
            <w:tcW w:w="1418" w:type="dxa"/>
          </w:tcPr>
          <w:p w:rsidR="004A7963" w:rsidRPr="00D96EC2" w:rsidRDefault="004A7963" w:rsidP="007F5EE6">
            <w:pPr>
              <w:rPr>
                <w:b/>
              </w:rPr>
            </w:pPr>
            <w:r w:rsidRPr="00D96EC2">
              <w:rPr>
                <w:b/>
              </w:rPr>
              <w:t>UNIT COST</w:t>
            </w:r>
            <w:r>
              <w:rPr>
                <w:b/>
              </w:rPr>
              <w:t xml:space="preserve"> per country</w:t>
            </w:r>
          </w:p>
        </w:tc>
        <w:tc>
          <w:tcPr>
            <w:tcW w:w="1337" w:type="dxa"/>
          </w:tcPr>
          <w:p w:rsidR="004A7963" w:rsidRPr="00D96EC2" w:rsidRDefault="004A7963" w:rsidP="007F5EE6">
            <w:pPr>
              <w:rPr>
                <w:b/>
              </w:rPr>
            </w:pPr>
            <w:r w:rsidRPr="00D96EC2">
              <w:rPr>
                <w:b/>
              </w:rPr>
              <w:t>TOTAL</w:t>
            </w:r>
            <w:r>
              <w:rPr>
                <w:b/>
              </w:rPr>
              <w:t>(US$)</w:t>
            </w:r>
          </w:p>
        </w:tc>
      </w:tr>
      <w:tr w:rsidR="004A7963" w:rsidTr="007F5EE6">
        <w:tc>
          <w:tcPr>
            <w:tcW w:w="6487" w:type="dxa"/>
            <w:gridSpan w:val="3"/>
          </w:tcPr>
          <w:p w:rsidR="004A7963" w:rsidRPr="00AE2382" w:rsidRDefault="004A7963" w:rsidP="007F5EE6">
            <w:r>
              <w:rPr>
                <w:i/>
              </w:rPr>
              <w:t>I – Resource Development</w:t>
            </w:r>
            <w:r>
              <w:t xml:space="preserve"> - </w:t>
            </w:r>
          </w:p>
        </w:tc>
        <w:tc>
          <w:tcPr>
            <w:tcW w:w="1418" w:type="dxa"/>
          </w:tcPr>
          <w:p w:rsidR="004A7963" w:rsidRDefault="004A7963" w:rsidP="007F5EE6"/>
        </w:tc>
        <w:tc>
          <w:tcPr>
            <w:tcW w:w="1337" w:type="dxa"/>
          </w:tcPr>
          <w:p w:rsidR="004A7963" w:rsidRDefault="004A7963" w:rsidP="007F5EE6"/>
        </w:tc>
      </w:tr>
      <w:tr w:rsidR="004A7963" w:rsidTr="007F5EE6">
        <w:tc>
          <w:tcPr>
            <w:tcW w:w="1991" w:type="dxa"/>
            <w:gridSpan w:val="2"/>
            <w:vMerge w:val="restart"/>
            <w:tcBorders>
              <w:right w:val="single" w:sz="4" w:space="0" w:color="auto"/>
            </w:tcBorders>
          </w:tcPr>
          <w:p w:rsidR="004A7963" w:rsidRDefault="004A7963" w:rsidP="007F5EE6"/>
        </w:tc>
        <w:tc>
          <w:tcPr>
            <w:tcW w:w="4496" w:type="dxa"/>
            <w:tcBorders>
              <w:left w:val="single" w:sz="4" w:space="0" w:color="auto"/>
            </w:tcBorders>
          </w:tcPr>
          <w:p w:rsidR="004A7963" w:rsidRDefault="004A7963" w:rsidP="007F5EE6">
            <w:r>
              <w:t>Consultation</w:t>
            </w:r>
          </w:p>
        </w:tc>
        <w:tc>
          <w:tcPr>
            <w:tcW w:w="1418" w:type="dxa"/>
          </w:tcPr>
          <w:p w:rsidR="004A7963" w:rsidRDefault="004A7963" w:rsidP="007F5EE6">
            <w:r>
              <w:t>400</w:t>
            </w:r>
          </w:p>
        </w:tc>
        <w:tc>
          <w:tcPr>
            <w:tcW w:w="1337" w:type="dxa"/>
          </w:tcPr>
          <w:p w:rsidR="004A7963" w:rsidRDefault="004A7963" w:rsidP="007F5EE6">
            <w:r>
              <w:t>1200</w:t>
            </w:r>
          </w:p>
        </w:tc>
      </w:tr>
      <w:tr w:rsidR="004A7963" w:rsidTr="007F5EE6">
        <w:tc>
          <w:tcPr>
            <w:tcW w:w="1991" w:type="dxa"/>
            <w:gridSpan w:val="2"/>
            <w:vMerge/>
            <w:tcBorders>
              <w:right w:val="single" w:sz="4" w:space="0" w:color="auto"/>
            </w:tcBorders>
          </w:tcPr>
          <w:p w:rsidR="004A7963" w:rsidRDefault="004A7963" w:rsidP="007F5EE6"/>
        </w:tc>
        <w:tc>
          <w:tcPr>
            <w:tcW w:w="4496" w:type="dxa"/>
            <w:tcBorders>
              <w:left w:val="single" w:sz="4" w:space="0" w:color="auto"/>
            </w:tcBorders>
          </w:tcPr>
          <w:p w:rsidR="004A7963" w:rsidRDefault="004A7963" w:rsidP="007F5EE6">
            <w:r>
              <w:t>Research Assistant</w:t>
            </w:r>
          </w:p>
        </w:tc>
        <w:tc>
          <w:tcPr>
            <w:tcW w:w="1418" w:type="dxa"/>
          </w:tcPr>
          <w:p w:rsidR="004A7963" w:rsidRDefault="004A7963" w:rsidP="007F5EE6">
            <w:r>
              <w:t>130</w:t>
            </w:r>
          </w:p>
        </w:tc>
        <w:tc>
          <w:tcPr>
            <w:tcW w:w="1337" w:type="dxa"/>
          </w:tcPr>
          <w:p w:rsidR="004A7963" w:rsidRDefault="004A7963" w:rsidP="007F5EE6">
            <w:r>
              <w:t xml:space="preserve"> 390</w:t>
            </w:r>
          </w:p>
        </w:tc>
      </w:tr>
      <w:tr w:rsidR="004A7963" w:rsidTr="007F5EE6">
        <w:tc>
          <w:tcPr>
            <w:tcW w:w="1991" w:type="dxa"/>
            <w:gridSpan w:val="2"/>
            <w:vMerge/>
            <w:tcBorders>
              <w:right w:val="single" w:sz="4" w:space="0" w:color="auto"/>
            </w:tcBorders>
          </w:tcPr>
          <w:p w:rsidR="004A7963" w:rsidRDefault="004A7963" w:rsidP="007F5EE6"/>
        </w:tc>
        <w:tc>
          <w:tcPr>
            <w:tcW w:w="4496" w:type="dxa"/>
            <w:tcBorders>
              <w:left w:val="single" w:sz="4" w:space="0" w:color="auto"/>
            </w:tcBorders>
          </w:tcPr>
          <w:p w:rsidR="004A7963" w:rsidRDefault="004A7963" w:rsidP="007F5EE6">
            <w:r>
              <w:t>Printing and duplication</w:t>
            </w:r>
          </w:p>
        </w:tc>
        <w:tc>
          <w:tcPr>
            <w:tcW w:w="1418" w:type="dxa"/>
          </w:tcPr>
          <w:p w:rsidR="004A7963" w:rsidRDefault="004A7963" w:rsidP="007F5EE6">
            <w:r>
              <w:t>70</w:t>
            </w:r>
          </w:p>
        </w:tc>
        <w:tc>
          <w:tcPr>
            <w:tcW w:w="1337" w:type="dxa"/>
          </w:tcPr>
          <w:p w:rsidR="004A7963" w:rsidRDefault="004A7963" w:rsidP="007F5EE6">
            <w:r>
              <w:t>210</w:t>
            </w:r>
          </w:p>
        </w:tc>
      </w:tr>
      <w:tr w:rsidR="004A7963" w:rsidTr="007F5EE6">
        <w:tc>
          <w:tcPr>
            <w:tcW w:w="6487" w:type="dxa"/>
            <w:gridSpan w:val="3"/>
          </w:tcPr>
          <w:p w:rsidR="004A7963" w:rsidRPr="00AE2382" w:rsidRDefault="004A7963" w:rsidP="007F5EE6">
            <w:pPr>
              <w:rPr>
                <w:b/>
              </w:rPr>
            </w:pPr>
            <w:r w:rsidRPr="00AE2382">
              <w:rPr>
                <w:b/>
              </w:rPr>
              <w:t xml:space="preserve">Sub </w:t>
            </w:r>
            <w:r>
              <w:rPr>
                <w:b/>
              </w:rPr>
              <w:t>–</w:t>
            </w:r>
            <w:r w:rsidRPr="00AE2382">
              <w:rPr>
                <w:b/>
              </w:rPr>
              <w:t xml:space="preserve"> Total</w:t>
            </w:r>
          </w:p>
        </w:tc>
        <w:tc>
          <w:tcPr>
            <w:tcW w:w="1418" w:type="dxa"/>
          </w:tcPr>
          <w:p w:rsidR="004A7963" w:rsidRPr="00AE2382" w:rsidRDefault="004A7963" w:rsidP="007F5EE6">
            <w:pPr>
              <w:rPr>
                <w:b/>
              </w:rPr>
            </w:pPr>
            <w:r>
              <w:rPr>
                <w:b/>
              </w:rPr>
              <w:t>600</w:t>
            </w:r>
          </w:p>
        </w:tc>
        <w:tc>
          <w:tcPr>
            <w:tcW w:w="1337" w:type="dxa"/>
          </w:tcPr>
          <w:p w:rsidR="004A7963" w:rsidRPr="00AE2382" w:rsidRDefault="004A7963" w:rsidP="007F5EE6">
            <w:pPr>
              <w:rPr>
                <w:b/>
              </w:rPr>
            </w:pPr>
            <w:r w:rsidRPr="00AE2382">
              <w:rPr>
                <w:b/>
              </w:rPr>
              <w:t>1</w:t>
            </w:r>
            <w:r>
              <w:rPr>
                <w:b/>
              </w:rPr>
              <w:t>8</w:t>
            </w:r>
            <w:r w:rsidRPr="00AE2382">
              <w:rPr>
                <w:b/>
              </w:rPr>
              <w:t>00</w:t>
            </w:r>
          </w:p>
        </w:tc>
      </w:tr>
      <w:tr w:rsidR="004A7963" w:rsidTr="007F5EE6">
        <w:tc>
          <w:tcPr>
            <w:tcW w:w="6487" w:type="dxa"/>
            <w:gridSpan w:val="3"/>
          </w:tcPr>
          <w:p w:rsidR="004A7963" w:rsidRPr="00AE2382" w:rsidRDefault="004A7963" w:rsidP="007F5EE6">
            <w:pPr>
              <w:rPr>
                <w:i/>
              </w:rPr>
            </w:pPr>
            <w:r>
              <w:rPr>
                <w:i/>
              </w:rPr>
              <w:t>II – Workshop</w:t>
            </w:r>
          </w:p>
        </w:tc>
        <w:tc>
          <w:tcPr>
            <w:tcW w:w="1418" w:type="dxa"/>
          </w:tcPr>
          <w:p w:rsidR="004A7963" w:rsidRDefault="004A7963" w:rsidP="007F5EE6"/>
        </w:tc>
        <w:tc>
          <w:tcPr>
            <w:tcW w:w="1337" w:type="dxa"/>
          </w:tcPr>
          <w:p w:rsidR="004A7963" w:rsidRDefault="004A7963" w:rsidP="007F5EE6"/>
        </w:tc>
      </w:tr>
      <w:tr w:rsidR="004A7963" w:rsidTr="007F5EE6">
        <w:tc>
          <w:tcPr>
            <w:tcW w:w="1966" w:type="dxa"/>
            <w:vMerge w:val="restart"/>
            <w:tcBorders>
              <w:right w:val="single" w:sz="4" w:space="0" w:color="auto"/>
            </w:tcBorders>
          </w:tcPr>
          <w:p w:rsidR="004A7963" w:rsidRDefault="004A7963" w:rsidP="007F5EE6"/>
        </w:tc>
        <w:tc>
          <w:tcPr>
            <w:tcW w:w="4521" w:type="dxa"/>
            <w:gridSpan w:val="2"/>
            <w:tcBorders>
              <w:left w:val="single" w:sz="4" w:space="0" w:color="auto"/>
            </w:tcBorders>
          </w:tcPr>
          <w:p w:rsidR="004A7963" w:rsidRDefault="004A7963" w:rsidP="007F5EE6">
            <w:r>
              <w:t>Transport/Accommodation for Participants</w:t>
            </w:r>
          </w:p>
          <w:p w:rsidR="004A7963" w:rsidRDefault="004A7963" w:rsidP="007F5EE6">
            <w:r>
              <w:t xml:space="preserve">10 </w:t>
            </w:r>
            <w:proofErr w:type="spellStart"/>
            <w:r>
              <w:t>pax</w:t>
            </w:r>
            <w:proofErr w:type="spellEnd"/>
            <w:r>
              <w:t xml:space="preserve"> @ $ 40 x 2 nights</w:t>
            </w:r>
          </w:p>
        </w:tc>
        <w:tc>
          <w:tcPr>
            <w:tcW w:w="1418" w:type="dxa"/>
          </w:tcPr>
          <w:p w:rsidR="004A7963" w:rsidRDefault="004A7963" w:rsidP="007F5EE6">
            <w:r>
              <w:t>800</w:t>
            </w:r>
          </w:p>
        </w:tc>
        <w:tc>
          <w:tcPr>
            <w:tcW w:w="1337" w:type="dxa"/>
          </w:tcPr>
          <w:p w:rsidR="004A7963" w:rsidRDefault="004A7963" w:rsidP="007F5EE6">
            <w:r>
              <w:t>2400</w:t>
            </w:r>
          </w:p>
        </w:tc>
      </w:tr>
      <w:tr w:rsidR="004A7963" w:rsidTr="007F5EE6">
        <w:tc>
          <w:tcPr>
            <w:tcW w:w="1966" w:type="dxa"/>
            <w:vMerge/>
            <w:tcBorders>
              <w:right w:val="single" w:sz="4" w:space="0" w:color="auto"/>
            </w:tcBorders>
          </w:tcPr>
          <w:p w:rsidR="004A7963" w:rsidRDefault="004A7963" w:rsidP="007F5EE6"/>
        </w:tc>
        <w:tc>
          <w:tcPr>
            <w:tcW w:w="4521" w:type="dxa"/>
            <w:gridSpan w:val="2"/>
            <w:tcBorders>
              <w:left w:val="single" w:sz="4" w:space="0" w:color="auto"/>
            </w:tcBorders>
          </w:tcPr>
          <w:p w:rsidR="004A7963" w:rsidRDefault="004A7963" w:rsidP="007F5EE6">
            <w:r>
              <w:t>Facilitation Fee</w:t>
            </w:r>
          </w:p>
        </w:tc>
        <w:tc>
          <w:tcPr>
            <w:tcW w:w="1418" w:type="dxa"/>
          </w:tcPr>
          <w:p w:rsidR="004A7963" w:rsidRDefault="004A7963" w:rsidP="007F5EE6">
            <w:r>
              <w:t>200</w:t>
            </w:r>
          </w:p>
        </w:tc>
        <w:tc>
          <w:tcPr>
            <w:tcW w:w="1337" w:type="dxa"/>
          </w:tcPr>
          <w:p w:rsidR="004A7963" w:rsidRDefault="004A7963" w:rsidP="007F5EE6">
            <w:r>
              <w:t>600</w:t>
            </w:r>
          </w:p>
        </w:tc>
      </w:tr>
      <w:tr w:rsidR="004A7963" w:rsidTr="007F5EE6">
        <w:tc>
          <w:tcPr>
            <w:tcW w:w="6487" w:type="dxa"/>
            <w:gridSpan w:val="3"/>
          </w:tcPr>
          <w:p w:rsidR="004A7963" w:rsidRPr="00E66AFE" w:rsidRDefault="004A7963" w:rsidP="007F5EE6">
            <w:pPr>
              <w:rPr>
                <w:b/>
              </w:rPr>
            </w:pPr>
            <w:r>
              <w:rPr>
                <w:b/>
              </w:rPr>
              <w:t>Sub-Total</w:t>
            </w:r>
          </w:p>
        </w:tc>
        <w:tc>
          <w:tcPr>
            <w:tcW w:w="1418" w:type="dxa"/>
          </w:tcPr>
          <w:p w:rsidR="004A7963" w:rsidRPr="00E66AFE" w:rsidRDefault="004A7963" w:rsidP="007F5EE6">
            <w:pPr>
              <w:rPr>
                <w:b/>
              </w:rPr>
            </w:pPr>
            <w:r>
              <w:rPr>
                <w:b/>
              </w:rPr>
              <w:t>1000</w:t>
            </w:r>
          </w:p>
        </w:tc>
        <w:tc>
          <w:tcPr>
            <w:tcW w:w="1337" w:type="dxa"/>
          </w:tcPr>
          <w:p w:rsidR="004A7963" w:rsidRPr="00E66AFE" w:rsidRDefault="004A7963" w:rsidP="007F5EE6">
            <w:pPr>
              <w:rPr>
                <w:b/>
              </w:rPr>
            </w:pPr>
            <w:r>
              <w:rPr>
                <w:b/>
              </w:rPr>
              <w:t>3000</w:t>
            </w:r>
          </w:p>
        </w:tc>
      </w:tr>
      <w:tr w:rsidR="004A7963" w:rsidTr="007F5EE6">
        <w:tc>
          <w:tcPr>
            <w:tcW w:w="6487" w:type="dxa"/>
            <w:gridSpan w:val="3"/>
          </w:tcPr>
          <w:p w:rsidR="004A7963" w:rsidRPr="00E66AFE" w:rsidRDefault="004A7963" w:rsidP="007F5EE6">
            <w:pPr>
              <w:rPr>
                <w:i/>
              </w:rPr>
            </w:pPr>
            <w:r>
              <w:rPr>
                <w:i/>
              </w:rPr>
              <w:t>III – Communication and Coordination</w:t>
            </w:r>
          </w:p>
        </w:tc>
        <w:tc>
          <w:tcPr>
            <w:tcW w:w="1418" w:type="dxa"/>
          </w:tcPr>
          <w:p w:rsidR="004A7963" w:rsidRDefault="004A7963" w:rsidP="007F5EE6">
            <w:r>
              <w:t>200</w:t>
            </w:r>
          </w:p>
        </w:tc>
        <w:tc>
          <w:tcPr>
            <w:tcW w:w="1337" w:type="dxa"/>
          </w:tcPr>
          <w:p w:rsidR="004A7963" w:rsidRDefault="004A7963" w:rsidP="007F5EE6">
            <w:r>
              <w:t>200</w:t>
            </w:r>
          </w:p>
        </w:tc>
      </w:tr>
      <w:tr w:rsidR="004A7963" w:rsidTr="007F5EE6">
        <w:tc>
          <w:tcPr>
            <w:tcW w:w="6487" w:type="dxa"/>
            <w:gridSpan w:val="3"/>
          </w:tcPr>
          <w:p w:rsidR="004A7963" w:rsidRPr="00E66AFE" w:rsidRDefault="004A7963" w:rsidP="007F5EE6">
            <w:pPr>
              <w:rPr>
                <w:b/>
              </w:rPr>
            </w:pPr>
            <w:r w:rsidRPr="00E66AFE">
              <w:rPr>
                <w:b/>
              </w:rPr>
              <w:t>TOTAL</w:t>
            </w:r>
          </w:p>
        </w:tc>
        <w:tc>
          <w:tcPr>
            <w:tcW w:w="1418" w:type="dxa"/>
          </w:tcPr>
          <w:p w:rsidR="004A7963" w:rsidRPr="00E66AFE" w:rsidRDefault="004A7963" w:rsidP="007F5EE6">
            <w:pPr>
              <w:rPr>
                <w:b/>
              </w:rPr>
            </w:pPr>
          </w:p>
        </w:tc>
        <w:tc>
          <w:tcPr>
            <w:tcW w:w="1337" w:type="dxa"/>
          </w:tcPr>
          <w:p w:rsidR="004A7963" w:rsidRPr="00E66AFE" w:rsidRDefault="004A7963" w:rsidP="007F5EE6">
            <w:pPr>
              <w:rPr>
                <w:b/>
              </w:rPr>
            </w:pPr>
            <w:r>
              <w:rPr>
                <w:b/>
              </w:rPr>
              <w:t>5000</w:t>
            </w:r>
          </w:p>
        </w:tc>
      </w:tr>
    </w:tbl>
    <w:p w:rsidR="004A7963" w:rsidRDefault="004A7963" w:rsidP="004A7963"/>
    <w:p w:rsidR="0098379B" w:rsidRDefault="0098379B" w:rsidP="004A7963">
      <w:pPr>
        <w:rPr>
          <w:b/>
        </w:rPr>
      </w:pPr>
    </w:p>
    <w:p w:rsidR="0098379B" w:rsidRDefault="0098379B" w:rsidP="004A7963">
      <w:pPr>
        <w:rPr>
          <w:b/>
        </w:rPr>
      </w:pPr>
    </w:p>
    <w:p w:rsidR="0098379B" w:rsidRDefault="0098379B" w:rsidP="004A7963">
      <w:pPr>
        <w:rPr>
          <w:b/>
        </w:rPr>
      </w:pPr>
    </w:p>
    <w:p w:rsidR="00086B85" w:rsidRPr="0098379B" w:rsidRDefault="0098379B" w:rsidP="004A7963">
      <w:pPr>
        <w:rPr>
          <w:b/>
        </w:rPr>
      </w:pPr>
      <w:r w:rsidRPr="0098379B">
        <w:rPr>
          <w:b/>
        </w:rPr>
        <w:lastRenderedPageBreak/>
        <w:t>8.2</w:t>
      </w:r>
      <w:r w:rsidRPr="0098379B">
        <w:rPr>
          <w:b/>
        </w:rPr>
        <w:tab/>
        <w:t>EXPENDITURE</w:t>
      </w:r>
    </w:p>
    <w:tbl>
      <w:tblPr>
        <w:tblStyle w:val="TableGrid"/>
        <w:tblW w:w="0" w:type="auto"/>
        <w:tblLook w:val="04A0"/>
      </w:tblPr>
      <w:tblGrid>
        <w:gridCol w:w="1966"/>
        <w:gridCol w:w="25"/>
        <w:gridCol w:w="4496"/>
        <w:gridCol w:w="1418"/>
        <w:gridCol w:w="1337"/>
      </w:tblGrid>
      <w:tr w:rsidR="00086B85" w:rsidRPr="00D96EC2" w:rsidTr="007F5EE6">
        <w:tc>
          <w:tcPr>
            <w:tcW w:w="6487" w:type="dxa"/>
            <w:gridSpan w:val="3"/>
          </w:tcPr>
          <w:p w:rsidR="00086B85" w:rsidRPr="00D96EC2" w:rsidRDefault="00086B85" w:rsidP="007F5EE6">
            <w:pPr>
              <w:rPr>
                <w:b/>
              </w:rPr>
            </w:pPr>
            <w:r w:rsidRPr="00D96EC2">
              <w:rPr>
                <w:b/>
              </w:rPr>
              <w:t>ITEM DESCRIPTION</w:t>
            </w:r>
          </w:p>
        </w:tc>
        <w:tc>
          <w:tcPr>
            <w:tcW w:w="1418" w:type="dxa"/>
          </w:tcPr>
          <w:p w:rsidR="00086B85" w:rsidRPr="00D96EC2" w:rsidRDefault="00086B85" w:rsidP="007F5EE6">
            <w:pPr>
              <w:rPr>
                <w:b/>
              </w:rPr>
            </w:pPr>
            <w:r w:rsidRPr="00D96EC2">
              <w:rPr>
                <w:b/>
              </w:rPr>
              <w:t>UNIT COST</w:t>
            </w:r>
            <w:r>
              <w:rPr>
                <w:b/>
              </w:rPr>
              <w:t xml:space="preserve"> per country</w:t>
            </w:r>
          </w:p>
        </w:tc>
        <w:tc>
          <w:tcPr>
            <w:tcW w:w="1337" w:type="dxa"/>
          </w:tcPr>
          <w:p w:rsidR="00086B85" w:rsidRPr="00D96EC2" w:rsidRDefault="00086B85" w:rsidP="007F5EE6">
            <w:pPr>
              <w:rPr>
                <w:b/>
              </w:rPr>
            </w:pPr>
            <w:r w:rsidRPr="00D96EC2">
              <w:rPr>
                <w:b/>
              </w:rPr>
              <w:t>TOTAL</w:t>
            </w:r>
            <w:r>
              <w:rPr>
                <w:b/>
              </w:rPr>
              <w:t>(US$)</w:t>
            </w:r>
          </w:p>
        </w:tc>
      </w:tr>
      <w:tr w:rsidR="00086B85" w:rsidTr="007F5EE6">
        <w:tc>
          <w:tcPr>
            <w:tcW w:w="6487" w:type="dxa"/>
            <w:gridSpan w:val="3"/>
          </w:tcPr>
          <w:p w:rsidR="00086B85" w:rsidRPr="00AE2382" w:rsidRDefault="00086B85" w:rsidP="007F5EE6">
            <w:r>
              <w:rPr>
                <w:i/>
              </w:rPr>
              <w:t>I – Resource Development</w:t>
            </w:r>
            <w:r>
              <w:t xml:space="preserve"> - </w:t>
            </w:r>
          </w:p>
        </w:tc>
        <w:tc>
          <w:tcPr>
            <w:tcW w:w="1418" w:type="dxa"/>
          </w:tcPr>
          <w:p w:rsidR="00086B85" w:rsidRDefault="00086B85" w:rsidP="007F5EE6"/>
        </w:tc>
        <w:tc>
          <w:tcPr>
            <w:tcW w:w="1337" w:type="dxa"/>
          </w:tcPr>
          <w:p w:rsidR="00086B85" w:rsidRDefault="00086B85" w:rsidP="007F5EE6"/>
        </w:tc>
      </w:tr>
      <w:tr w:rsidR="00086B85" w:rsidTr="007F5EE6">
        <w:tc>
          <w:tcPr>
            <w:tcW w:w="1991" w:type="dxa"/>
            <w:gridSpan w:val="2"/>
            <w:vMerge w:val="restart"/>
            <w:tcBorders>
              <w:right w:val="single" w:sz="4" w:space="0" w:color="auto"/>
            </w:tcBorders>
          </w:tcPr>
          <w:p w:rsidR="00086B85" w:rsidRDefault="00086B85" w:rsidP="007F5EE6"/>
        </w:tc>
        <w:tc>
          <w:tcPr>
            <w:tcW w:w="4496" w:type="dxa"/>
            <w:tcBorders>
              <w:left w:val="single" w:sz="4" w:space="0" w:color="auto"/>
            </w:tcBorders>
          </w:tcPr>
          <w:p w:rsidR="00086B85" w:rsidRDefault="00086B85" w:rsidP="007F5EE6">
            <w:r>
              <w:t>Consultation</w:t>
            </w:r>
            <w:r>
              <w:t xml:space="preserve"> (Kenya and Zambia)</w:t>
            </w:r>
          </w:p>
        </w:tc>
        <w:tc>
          <w:tcPr>
            <w:tcW w:w="1418" w:type="dxa"/>
          </w:tcPr>
          <w:p w:rsidR="00086B85" w:rsidRDefault="00086B85" w:rsidP="007F5EE6">
            <w:r>
              <w:t>400</w:t>
            </w:r>
          </w:p>
        </w:tc>
        <w:tc>
          <w:tcPr>
            <w:tcW w:w="1337" w:type="dxa"/>
          </w:tcPr>
          <w:p w:rsidR="00086B85" w:rsidRDefault="00086B85" w:rsidP="007F5EE6">
            <w:r>
              <w:t>800</w:t>
            </w:r>
          </w:p>
        </w:tc>
      </w:tr>
      <w:tr w:rsidR="00086B85" w:rsidTr="007F5EE6">
        <w:tc>
          <w:tcPr>
            <w:tcW w:w="1991" w:type="dxa"/>
            <w:gridSpan w:val="2"/>
            <w:vMerge/>
            <w:tcBorders>
              <w:right w:val="single" w:sz="4" w:space="0" w:color="auto"/>
            </w:tcBorders>
          </w:tcPr>
          <w:p w:rsidR="00086B85" w:rsidRDefault="00086B85" w:rsidP="007F5EE6"/>
        </w:tc>
        <w:tc>
          <w:tcPr>
            <w:tcW w:w="4496" w:type="dxa"/>
            <w:tcBorders>
              <w:left w:val="single" w:sz="4" w:space="0" w:color="auto"/>
            </w:tcBorders>
          </w:tcPr>
          <w:p w:rsidR="00086B85" w:rsidRDefault="00086B85" w:rsidP="007F5EE6">
            <w:r>
              <w:t>Research Assistant</w:t>
            </w:r>
          </w:p>
        </w:tc>
        <w:tc>
          <w:tcPr>
            <w:tcW w:w="1418" w:type="dxa"/>
          </w:tcPr>
          <w:p w:rsidR="00086B85" w:rsidRDefault="00086B85" w:rsidP="007F5EE6">
            <w:r>
              <w:t>130</w:t>
            </w:r>
          </w:p>
        </w:tc>
        <w:tc>
          <w:tcPr>
            <w:tcW w:w="1337" w:type="dxa"/>
          </w:tcPr>
          <w:p w:rsidR="00086B85" w:rsidRDefault="00086B85" w:rsidP="007F5EE6">
            <w:r>
              <w:t xml:space="preserve"> 390</w:t>
            </w:r>
          </w:p>
        </w:tc>
      </w:tr>
      <w:tr w:rsidR="00086B85" w:rsidTr="00086B85">
        <w:trPr>
          <w:trHeight w:val="302"/>
        </w:trPr>
        <w:tc>
          <w:tcPr>
            <w:tcW w:w="1991" w:type="dxa"/>
            <w:gridSpan w:val="2"/>
            <w:vMerge/>
            <w:tcBorders>
              <w:right w:val="single" w:sz="4" w:space="0" w:color="auto"/>
            </w:tcBorders>
          </w:tcPr>
          <w:p w:rsidR="00086B85" w:rsidRDefault="00086B85" w:rsidP="007F5EE6"/>
        </w:tc>
        <w:tc>
          <w:tcPr>
            <w:tcW w:w="4496" w:type="dxa"/>
            <w:tcBorders>
              <w:left w:val="single" w:sz="4" w:space="0" w:color="auto"/>
              <w:bottom w:val="single" w:sz="4" w:space="0" w:color="auto"/>
            </w:tcBorders>
          </w:tcPr>
          <w:p w:rsidR="00086B85" w:rsidRDefault="00086B85" w:rsidP="007F5EE6">
            <w:r>
              <w:t>Printing and duplication</w:t>
            </w:r>
            <w:r w:rsidR="00AE39AA">
              <w:t xml:space="preserve"> (Kenya and Zambia)</w:t>
            </w:r>
          </w:p>
        </w:tc>
        <w:tc>
          <w:tcPr>
            <w:tcW w:w="1418" w:type="dxa"/>
            <w:tcBorders>
              <w:bottom w:val="single" w:sz="4" w:space="0" w:color="auto"/>
            </w:tcBorders>
          </w:tcPr>
          <w:p w:rsidR="00086B85" w:rsidRDefault="00086B85" w:rsidP="007F5EE6">
            <w:r>
              <w:t>70</w:t>
            </w:r>
          </w:p>
        </w:tc>
        <w:tc>
          <w:tcPr>
            <w:tcW w:w="1337" w:type="dxa"/>
            <w:tcBorders>
              <w:bottom w:val="single" w:sz="4" w:space="0" w:color="auto"/>
            </w:tcBorders>
          </w:tcPr>
          <w:p w:rsidR="00086B85" w:rsidRDefault="00AE39AA" w:rsidP="007F5EE6">
            <w:r>
              <w:t>140</w:t>
            </w:r>
          </w:p>
        </w:tc>
      </w:tr>
      <w:tr w:rsidR="00086B85" w:rsidTr="00086B85">
        <w:trPr>
          <w:trHeight w:val="234"/>
        </w:trPr>
        <w:tc>
          <w:tcPr>
            <w:tcW w:w="1991" w:type="dxa"/>
            <w:gridSpan w:val="2"/>
            <w:vMerge/>
            <w:tcBorders>
              <w:right w:val="single" w:sz="4" w:space="0" w:color="auto"/>
            </w:tcBorders>
          </w:tcPr>
          <w:p w:rsidR="00086B85" w:rsidRDefault="00086B85" w:rsidP="007F5EE6"/>
        </w:tc>
        <w:tc>
          <w:tcPr>
            <w:tcW w:w="4496" w:type="dxa"/>
            <w:tcBorders>
              <w:top w:val="single" w:sz="4" w:space="0" w:color="auto"/>
              <w:left w:val="single" w:sz="4" w:space="0" w:color="auto"/>
            </w:tcBorders>
          </w:tcPr>
          <w:p w:rsidR="00086B85" w:rsidRDefault="00086B85" w:rsidP="007F5EE6">
            <w:r>
              <w:t>Professional Services (South Africa)</w:t>
            </w:r>
          </w:p>
        </w:tc>
        <w:tc>
          <w:tcPr>
            <w:tcW w:w="1418" w:type="dxa"/>
            <w:tcBorders>
              <w:top w:val="single" w:sz="4" w:space="0" w:color="auto"/>
            </w:tcBorders>
          </w:tcPr>
          <w:p w:rsidR="00086B85" w:rsidRDefault="00086B85" w:rsidP="007F5EE6"/>
        </w:tc>
        <w:tc>
          <w:tcPr>
            <w:tcW w:w="1337" w:type="dxa"/>
            <w:tcBorders>
              <w:top w:val="single" w:sz="4" w:space="0" w:color="auto"/>
            </w:tcBorders>
          </w:tcPr>
          <w:p w:rsidR="00086B85" w:rsidRDefault="00086B85" w:rsidP="007F5EE6">
            <w:r>
              <w:t>1270</w:t>
            </w:r>
          </w:p>
        </w:tc>
      </w:tr>
      <w:tr w:rsidR="00086B85" w:rsidTr="003C77F0">
        <w:tc>
          <w:tcPr>
            <w:tcW w:w="7905" w:type="dxa"/>
            <w:gridSpan w:val="4"/>
          </w:tcPr>
          <w:p w:rsidR="00086B85" w:rsidRPr="00AE2382" w:rsidRDefault="00086B85" w:rsidP="007F5EE6">
            <w:pPr>
              <w:rPr>
                <w:b/>
              </w:rPr>
            </w:pPr>
            <w:r w:rsidRPr="00AE2382">
              <w:rPr>
                <w:b/>
              </w:rPr>
              <w:t xml:space="preserve">Sub </w:t>
            </w:r>
            <w:r>
              <w:rPr>
                <w:b/>
              </w:rPr>
              <w:t>–</w:t>
            </w:r>
            <w:r w:rsidRPr="00AE2382">
              <w:rPr>
                <w:b/>
              </w:rPr>
              <w:t xml:space="preserve"> Total</w:t>
            </w:r>
          </w:p>
        </w:tc>
        <w:tc>
          <w:tcPr>
            <w:tcW w:w="1337" w:type="dxa"/>
          </w:tcPr>
          <w:p w:rsidR="00086B85" w:rsidRPr="00AE2382" w:rsidRDefault="00AE39AA" w:rsidP="00086B85">
            <w:pPr>
              <w:rPr>
                <w:b/>
              </w:rPr>
            </w:pPr>
            <w:r>
              <w:rPr>
                <w:b/>
              </w:rPr>
              <w:t>260</w:t>
            </w:r>
            <w:r w:rsidR="00086B85" w:rsidRPr="00AE2382">
              <w:rPr>
                <w:b/>
              </w:rPr>
              <w:t>0</w:t>
            </w:r>
          </w:p>
        </w:tc>
      </w:tr>
      <w:tr w:rsidR="00086B85" w:rsidTr="007F5EE6">
        <w:tc>
          <w:tcPr>
            <w:tcW w:w="6487" w:type="dxa"/>
            <w:gridSpan w:val="3"/>
          </w:tcPr>
          <w:p w:rsidR="00086B85" w:rsidRPr="00AE2382" w:rsidRDefault="00086B85" w:rsidP="007F5EE6">
            <w:pPr>
              <w:rPr>
                <w:i/>
              </w:rPr>
            </w:pPr>
            <w:r>
              <w:rPr>
                <w:i/>
              </w:rPr>
              <w:t>II – Workshop</w:t>
            </w:r>
          </w:p>
        </w:tc>
        <w:tc>
          <w:tcPr>
            <w:tcW w:w="1418" w:type="dxa"/>
          </w:tcPr>
          <w:p w:rsidR="00086B85" w:rsidRDefault="00086B85" w:rsidP="007F5EE6"/>
        </w:tc>
        <w:tc>
          <w:tcPr>
            <w:tcW w:w="1337" w:type="dxa"/>
          </w:tcPr>
          <w:p w:rsidR="00086B85" w:rsidRDefault="00086B85" w:rsidP="007F5EE6"/>
        </w:tc>
      </w:tr>
      <w:tr w:rsidR="00086B85" w:rsidTr="007F5EE6">
        <w:tc>
          <w:tcPr>
            <w:tcW w:w="1966" w:type="dxa"/>
            <w:vMerge w:val="restart"/>
            <w:tcBorders>
              <w:right w:val="single" w:sz="4" w:space="0" w:color="auto"/>
            </w:tcBorders>
          </w:tcPr>
          <w:p w:rsidR="00086B85" w:rsidRDefault="00086B85" w:rsidP="007F5EE6"/>
        </w:tc>
        <w:tc>
          <w:tcPr>
            <w:tcW w:w="4521" w:type="dxa"/>
            <w:gridSpan w:val="2"/>
            <w:tcBorders>
              <w:left w:val="single" w:sz="4" w:space="0" w:color="auto"/>
            </w:tcBorders>
          </w:tcPr>
          <w:p w:rsidR="00086B85" w:rsidRDefault="00086B85" w:rsidP="007F5EE6">
            <w:r>
              <w:t>Transport/Accommodation</w:t>
            </w:r>
            <w:r w:rsidR="006D162A">
              <w:t>/subsistence</w:t>
            </w:r>
            <w:r>
              <w:t xml:space="preserve"> for Participants</w:t>
            </w:r>
            <w:r w:rsidR="006D162A">
              <w:t xml:space="preserve"> (Kenya and Zambia)</w:t>
            </w:r>
          </w:p>
        </w:tc>
        <w:tc>
          <w:tcPr>
            <w:tcW w:w="1418" w:type="dxa"/>
          </w:tcPr>
          <w:p w:rsidR="00086B85" w:rsidRDefault="00086B85" w:rsidP="007F5EE6">
            <w:r>
              <w:t>800</w:t>
            </w:r>
          </w:p>
        </w:tc>
        <w:tc>
          <w:tcPr>
            <w:tcW w:w="1337" w:type="dxa"/>
          </w:tcPr>
          <w:p w:rsidR="00086B85" w:rsidRDefault="006D162A" w:rsidP="007F5EE6">
            <w:r>
              <w:t>16</w:t>
            </w:r>
            <w:r w:rsidR="00086B85">
              <w:t>00</w:t>
            </w:r>
          </w:p>
        </w:tc>
      </w:tr>
      <w:tr w:rsidR="00086B85" w:rsidTr="007F5EE6">
        <w:tc>
          <w:tcPr>
            <w:tcW w:w="1966" w:type="dxa"/>
            <w:vMerge/>
            <w:tcBorders>
              <w:right w:val="single" w:sz="4" w:space="0" w:color="auto"/>
            </w:tcBorders>
          </w:tcPr>
          <w:p w:rsidR="00086B85" w:rsidRDefault="00086B85" w:rsidP="007F5EE6"/>
        </w:tc>
        <w:tc>
          <w:tcPr>
            <w:tcW w:w="4521" w:type="dxa"/>
            <w:gridSpan w:val="2"/>
            <w:tcBorders>
              <w:left w:val="single" w:sz="4" w:space="0" w:color="auto"/>
            </w:tcBorders>
          </w:tcPr>
          <w:p w:rsidR="00086B85" w:rsidRDefault="00086B85" w:rsidP="007F5EE6">
            <w:r>
              <w:t>Facilitation Fee</w:t>
            </w:r>
          </w:p>
        </w:tc>
        <w:tc>
          <w:tcPr>
            <w:tcW w:w="1418" w:type="dxa"/>
          </w:tcPr>
          <w:p w:rsidR="00086B85" w:rsidRDefault="00086B85" w:rsidP="007F5EE6">
            <w:r>
              <w:t>200</w:t>
            </w:r>
          </w:p>
        </w:tc>
        <w:tc>
          <w:tcPr>
            <w:tcW w:w="1337" w:type="dxa"/>
          </w:tcPr>
          <w:p w:rsidR="00086B85" w:rsidRDefault="00086B85" w:rsidP="007F5EE6">
            <w:r>
              <w:t>600</w:t>
            </w:r>
          </w:p>
        </w:tc>
      </w:tr>
      <w:tr w:rsidR="006D162A" w:rsidTr="00F64A36">
        <w:tc>
          <w:tcPr>
            <w:tcW w:w="7905" w:type="dxa"/>
            <w:gridSpan w:val="4"/>
          </w:tcPr>
          <w:p w:rsidR="006D162A" w:rsidRPr="00E66AFE" w:rsidRDefault="006D162A" w:rsidP="007F5EE6">
            <w:pPr>
              <w:rPr>
                <w:b/>
              </w:rPr>
            </w:pPr>
            <w:r>
              <w:rPr>
                <w:b/>
              </w:rPr>
              <w:t>Sub-Total</w:t>
            </w:r>
          </w:p>
        </w:tc>
        <w:tc>
          <w:tcPr>
            <w:tcW w:w="1337" w:type="dxa"/>
          </w:tcPr>
          <w:p w:rsidR="006D162A" w:rsidRPr="00E66AFE" w:rsidRDefault="006D162A" w:rsidP="007F5EE6">
            <w:pPr>
              <w:rPr>
                <w:b/>
              </w:rPr>
            </w:pPr>
            <w:r>
              <w:rPr>
                <w:b/>
              </w:rPr>
              <w:t>22</w:t>
            </w:r>
            <w:r>
              <w:rPr>
                <w:b/>
              </w:rPr>
              <w:t>00</w:t>
            </w:r>
          </w:p>
        </w:tc>
      </w:tr>
      <w:tr w:rsidR="00086B85" w:rsidTr="007F5EE6">
        <w:tc>
          <w:tcPr>
            <w:tcW w:w="6487" w:type="dxa"/>
            <w:gridSpan w:val="3"/>
          </w:tcPr>
          <w:p w:rsidR="00086B85" w:rsidRPr="003C28DD" w:rsidRDefault="00086B85" w:rsidP="007F5EE6">
            <w:r>
              <w:rPr>
                <w:i/>
              </w:rPr>
              <w:t>III – Communication and Coordination</w:t>
            </w:r>
            <w:r w:rsidR="003C28DD">
              <w:rPr>
                <w:i/>
              </w:rPr>
              <w:t xml:space="preserve"> (</w:t>
            </w:r>
            <w:r w:rsidR="003C28DD">
              <w:t>bank Charges etc)</w:t>
            </w:r>
          </w:p>
        </w:tc>
        <w:tc>
          <w:tcPr>
            <w:tcW w:w="1418" w:type="dxa"/>
          </w:tcPr>
          <w:p w:rsidR="00086B85" w:rsidRDefault="00086B85" w:rsidP="007F5EE6">
            <w:r>
              <w:t>200</w:t>
            </w:r>
          </w:p>
        </w:tc>
        <w:tc>
          <w:tcPr>
            <w:tcW w:w="1337" w:type="dxa"/>
          </w:tcPr>
          <w:p w:rsidR="00086B85" w:rsidRDefault="00086B85" w:rsidP="007F5EE6">
            <w:r>
              <w:t>200</w:t>
            </w:r>
          </w:p>
        </w:tc>
      </w:tr>
      <w:tr w:rsidR="00086B85" w:rsidTr="007F5EE6">
        <w:tc>
          <w:tcPr>
            <w:tcW w:w="6487" w:type="dxa"/>
            <w:gridSpan w:val="3"/>
          </w:tcPr>
          <w:p w:rsidR="00086B85" w:rsidRPr="00E66AFE" w:rsidRDefault="00086B85" w:rsidP="007F5EE6">
            <w:pPr>
              <w:rPr>
                <w:b/>
              </w:rPr>
            </w:pPr>
            <w:r w:rsidRPr="00E66AFE">
              <w:rPr>
                <w:b/>
              </w:rPr>
              <w:t>TOTAL</w:t>
            </w:r>
          </w:p>
        </w:tc>
        <w:tc>
          <w:tcPr>
            <w:tcW w:w="1418" w:type="dxa"/>
          </w:tcPr>
          <w:p w:rsidR="00086B85" w:rsidRPr="00E66AFE" w:rsidRDefault="00086B85" w:rsidP="007F5EE6">
            <w:pPr>
              <w:rPr>
                <w:b/>
              </w:rPr>
            </w:pPr>
          </w:p>
        </w:tc>
        <w:tc>
          <w:tcPr>
            <w:tcW w:w="1337" w:type="dxa"/>
          </w:tcPr>
          <w:p w:rsidR="00086B85" w:rsidRPr="00E66AFE" w:rsidRDefault="00626D13" w:rsidP="007F5EE6">
            <w:pPr>
              <w:rPr>
                <w:b/>
              </w:rPr>
            </w:pPr>
            <w:r>
              <w:rPr>
                <w:b/>
              </w:rPr>
              <w:t>500</w:t>
            </w:r>
            <w:r w:rsidR="00086B85">
              <w:rPr>
                <w:b/>
              </w:rPr>
              <w:t>0</w:t>
            </w:r>
          </w:p>
        </w:tc>
      </w:tr>
    </w:tbl>
    <w:p w:rsidR="00086B85" w:rsidRDefault="00086B85" w:rsidP="004A7963"/>
    <w:p w:rsidR="006D162A" w:rsidRPr="00AE39AA" w:rsidRDefault="0098379B" w:rsidP="004A7963">
      <w:pPr>
        <w:rPr>
          <w:b/>
        </w:rPr>
      </w:pPr>
      <w:r>
        <w:rPr>
          <w:b/>
        </w:rPr>
        <w:t>8.3</w:t>
      </w:r>
      <w:r>
        <w:rPr>
          <w:b/>
        </w:rPr>
        <w:tab/>
      </w:r>
      <w:r w:rsidR="00AE39AA" w:rsidRPr="00AE39AA">
        <w:rPr>
          <w:b/>
        </w:rPr>
        <w:t>DISBURSEMENT</w:t>
      </w:r>
    </w:p>
    <w:p w:rsidR="006D162A" w:rsidRDefault="006D162A" w:rsidP="004A7963">
      <w:r>
        <w:t>Amount Received from ISME 24.9.2014</w:t>
      </w:r>
      <w:r>
        <w:tab/>
      </w:r>
      <w:r>
        <w:tab/>
        <w:t xml:space="preserve"> - USD 3975</w:t>
      </w:r>
    </w:p>
    <w:p w:rsidR="006D162A" w:rsidRPr="003C28DD" w:rsidRDefault="006D162A" w:rsidP="004A7963">
      <w:pPr>
        <w:rPr>
          <w:b/>
        </w:rPr>
      </w:pPr>
      <w:r w:rsidRPr="003C28DD">
        <w:rPr>
          <w:b/>
        </w:rPr>
        <w:t>Balance</w:t>
      </w:r>
      <w:r w:rsidR="003C28DD" w:rsidRPr="003C28DD">
        <w:rPr>
          <w:b/>
        </w:rPr>
        <w:t xml:space="preserve"> </w:t>
      </w:r>
      <w:r w:rsidR="003C28DD" w:rsidRPr="003C28DD">
        <w:rPr>
          <w:b/>
        </w:rPr>
        <w:tab/>
      </w:r>
      <w:r w:rsidR="003C28DD" w:rsidRPr="003C28DD">
        <w:rPr>
          <w:b/>
        </w:rPr>
        <w:tab/>
      </w:r>
      <w:r w:rsidR="003C28DD" w:rsidRPr="003C28DD">
        <w:rPr>
          <w:b/>
        </w:rPr>
        <w:tab/>
      </w:r>
      <w:r w:rsidR="003C28DD" w:rsidRPr="003C28DD">
        <w:rPr>
          <w:b/>
        </w:rPr>
        <w:tab/>
      </w:r>
      <w:r w:rsidR="003C28DD" w:rsidRPr="003C28DD">
        <w:rPr>
          <w:b/>
        </w:rPr>
        <w:tab/>
        <w:t>- USD 1025</w:t>
      </w:r>
    </w:p>
    <w:p w:rsidR="0098379B" w:rsidRDefault="0098379B" w:rsidP="003C28DD">
      <w:pPr>
        <w:pStyle w:val="Heading1"/>
      </w:pPr>
    </w:p>
    <w:p w:rsidR="0061151B" w:rsidRDefault="0098379B" w:rsidP="003C28DD">
      <w:pPr>
        <w:pStyle w:val="Heading1"/>
      </w:pPr>
      <w:r>
        <w:t>9.0</w:t>
      </w:r>
      <w:r>
        <w:tab/>
      </w:r>
      <w:r w:rsidR="003C28DD">
        <w:t>Project Team</w:t>
      </w:r>
    </w:p>
    <w:p w:rsidR="003C28DD" w:rsidRDefault="003C28DD" w:rsidP="003C28DD">
      <w:pPr>
        <w:pStyle w:val="NoSpacing"/>
        <w:spacing w:line="276" w:lineRule="auto"/>
        <w:rPr>
          <w:rFonts w:asciiTheme="minorHAnsi" w:hAnsiTheme="minorHAnsi"/>
        </w:rPr>
      </w:pPr>
      <w:r w:rsidRPr="00346C49">
        <w:rPr>
          <w:rFonts w:asciiTheme="minorHAnsi" w:hAnsiTheme="minorHAnsi"/>
        </w:rPr>
        <w:t>Emily Achieng’ AKUNO</w:t>
      </w:r>
      <w:r>
        <w:rPr>
          <w:rFonts w:asciiTheme="minorHAnsi" w:hAnsiTheme="minorHAnsi"/>
        </w:rPr>
        <w:t xml:space="preserve"> (Co-ordinator)</w:t>
      </w:r>
      <w:r w:rsidRPr="00346C49">
        <w:rPr>
          <w:rFonts w:asciiTheme="minorHAnsi" w:hAnsiTheme="minorHAnsi"/>
        </w:rPr>
        <w:t>,</w:t>
      </w:r>
      <w:r>
        <w:rPr>
          <w:rFonts w:asciiTheme="minorHAnsi" w:hAnsiTheme="minorHAnsi"/>
        </w:rPr>
        <w:t xml:space="preserve"> </w:t>
      </w:r>
    </w:p>
    <w:p w:rsidR="003C28DD" w:rsidRDefault="003C28DD" w:rsidP="003C28DD">
      <w:pPr>
        <w:pStyle w:val="NoSpacing"/>
        <w:spacing w:line="276" w:lineRule="auto"/>
        <w:rPr>
          <w:rFonts w:asciiTheme="minorHAnsi" w:hAnsiTheme="minorHAnsi"/>
        </w:rPr>
      </w:pPr>
      <w:r w:rsidRPr="00346C49">
        <w:rPr>
          <w:rFonts w:asciiTheme="minorHAnsi" w:hAnsiTheme="minorHAnsi"/>
        </w:rPr>
        <w:t xml:space="preserve">Elizabeth Achieng’ ANDANG’O </w:t>
      </w:r>
      <w:r>
        <w:rPr>
          <w:rFonts w:asciiTheme="minorHAnsi" w:hAnsiTheme="minorHAnsi"/>
        </w:rPr>
        <w:t>(</w:t>
      </w:r>
      <w:r w:rsidRPr="00346C49">
        <w:rPr>
          <w:rFonts w:asciiTheme="minorHAnsi" w:hAnsiTheme="minorHAnsi"/>
        </w:rPr>
        <w:t>Kenya</w:t>
      </w:r>
      <w:r>
        <w:rPr>
          <w:rFonts w:asciiTheme="minorHAnsi" w:hAnsiTheme="minorHAnsi"/>
        </w:rPr>
        <w:t>),</w:t>
      </w:r>
    </w:p>
    <w:p w:rsidR="003C28DD" w:rsidRPr="00346C49" w:rsidRDefault="003C28DD" w:rsidP="003C28DD">
      <w:pPr>
        <w:pStyle w:val="NoSpacing"/>
        <w:spacing w:line="276" w:lineRule="auto"/>
        <w:rPr>
          <w:rFonts w:asciiTheme="minorHAnsi" w:hAnsiTheme="minorHAnsi"/>
        </w:rPr>
      </w:pPr>
      <w:proofErr w:type="spellStart"/>
      <w:r>
        <w:rPr>
          <w:rFonts w:asciiTheme="minorHAnsi" w:hAnsiTheme="minorHAnsi"/>
        </w:rPr>
        <w:t>Nasilele</w:t>
      </w:r>
      <w:proofErr w:type="spellEnd"/>
      <w:r>
        <w:rPr>
          <w:rFonts w:asciiTheme="minorHAnsi" w:hAnsiTheme="minorHAnsi"/>
        </w:rPr>
        <w:t xml:space="preserve"> IMBWELA</w:t>
      </w:r>
      <w:r w:rsidRPr="00346C49">
        <w:rPr>
          <w:rFonts w:asciiTheme="minorHAnsi" w:hAnsiTheme="minorHAnsi"/>
        </w:rPr>
        <w:t xml:space="preserve">, </w:t>
      </w:r>
      <w:r>
        <w:rPr>
          <w:rFonts w:asciiTheme="minorHAnsi" w:hAnsiTheme="minorHAnsi"/>
        </w:rPr>
        <w:t>(</w:t>
      </w:r>
      <w:r w:rsidRPr="00346C49">
        <w:rPr>
          <w:rFonts w:asciiTheme="minorHAnsi" w:hAnsiTheme="minorHAnsi"/>
        </w:rPr>
        <w:t>Zambia</w:t>
      </w:r>
      <w:r>
        <w:rPr>
          <w:rFonts w:asciiTheme="minorHAnsi" w:hAnsiTheme="minorHAnsi"/>
        </w:rPr>
        <w:t>)</w:t>
      </w:r>
    </w:p>
    <w:p w:rsidR="003C28DD" w:rsidRDefault="003C28DD" w:rsidP="003C28DD">
      <w:pPr>
        <w:pStyle w:val="NoSpacing"/>
        <w:spacing w:line="276" w:lineRule="auto"/>
        <w:rPr>
          <w:rFonts w:asciiTheme="minorHAnsi" w:hAnsiTheme="minorHAnsi"/>
        </w:rPr>
      </w:pPr>
      <w:proofErr w:type="spellStart"/>
      <w:r w:rsidRPr="00346C49">
        <w:rPr>
          <w:rFonts w:asciiTheme="minorHAnsi" w:hAnsiTheme="minorHAnsi"/>
        </w:rPr>
        <w:t>Zenda</w:t>
      </w:r>
      <w:proofErr w:type="spellEnd"/>
      <w:r w:rsidRPr="00346C49">
        <w:rPr>
          <w:rFonts w:asciiTheme="minorHAnsi" w:hAnsiTheme="minorHAnsi"/>
        </w:rPr>
        <w:t xml:space="preserve"> </w:t>
      </w:r>
      <w:r>
        <w:rPr>
          <w:rFonts w:asciiTheme="minorHAnsi" w:hAnsiTheme="minorHAnsi"/>
        </w:rPr>
        <w:t>NEL (South Africa)</w:t>
      </w:r>
      <w:r w:rsidRPr="00346C49">
        <w:rPr>
          <w:rFonts w:asciiTheme="minorHAnsi" w:hAnsiTheme="minorHAnsi"/>
        </w:rPr>
        <w:t xml:space="preserve">, </w:t>
      </w:r>
    </w:p>
    <w:p w:rsidR="003C28DD" w:rsidRPr="00346C49" w:rsidRDefault="003C28DD" w:rsidP="003C28DD">
      <w:pPr>
        <w:pStyle w:val="NoSpacing"/>
        <w:spacing w:line="276" w:lineRule="auto"/>
        <w:rPr>
          <w:rFonts w:asciiTheme="minorHAnsi" w:hAnsiTheme="minorHAnsi"/>
        </w:rPr>
      </w:pPr>
      <w:r>
        <w:rPr>
          <w:rFonts w:asciiTheme="minorHAnsi" w:hAnsiTheme="minorHAnsi"/>
        </w:rPr>
        <w:t xml:space="preserve">Rose </w:t>
      </w:r>
      <w:proofErr w:type="spellStart"/>
      <w:r>
        <w:rPr>
          <w:rFonts w:asciiTheme="minorHAnsi" w:hAnsiTheme="minorHAnsi"/>
        </w:rPr>
        <w:t>Anyango</w:t>
      </w:r>
      <w:proofErr w:type="spellEnd"/>
      <w:r>
        <w:rPr>
          <w:rFonts w:asciiTheme="minorHAnsi" w:hAnsiTheme="minorHAnsi"/>
        </w:rPr>
        <w:t xml:space="preserve"> OMOLO-ONGATI (</w:t>
      </w:r>
      <w:r w:rsidRPr="00346C49">
        <w:rPr>
          <w:rFonts w:asciiTheme="minorHAnsi" w:hAnsiTheme="minorHAnsi"/>
        </w:rPr>
        <w:t>Kenya</w:t>
      </w:r>
      <w:r>
        <w:rPr>
          <w:rFonts w:asciiTheme="minorHAnsi" w:hAnsiTheme="minorHAnsi"/>
        </w:rPr>
        <w:t>)</w:t>
      </w:r>
      <w:r w:rsidRPr="00346C49">
        <w:rPr>
          <w:rFonts w:asciiTheme="minorHAnsi" w:hAnsiTheme="minorHAnsi"/>
        </w:rPr>
        <w:t>,</w:t>
      </w:r>
    </w:p>
    <w:p w:rsidR="003C28DD" w:rsidRDefault="003C28DD" w:rsidP="003C28DD">
      <w:pPr>
        <w:pStyle w:val="NoSpacing"/>
        <w:spacing w:line="276" w:lineRule="auto"/>
        <w:rPr>
          <w:rFonts w:asciiTheme="minorHAnsi" w:hAnsiTheme="minorHAnsi"/>
        </w:rPr>
      </w:pPr>
      <w:r w:rsidRPr="00346C49">
        <w:rPr>
          <w:rFonts w:asciiTheme="minorHAnsi" w:hAnsiTheme="minorHAnsi"/>
        </w:rPr>
        <w:t xml:space="preserve">Donald </w:t>
      </w:r>
      <w:proofErr w:type="spellStart"/>
      <w:r w:rsidRPr="00346C49">
        <w:rPr>
          <w:rFonts w:asciiTheme="minorHAnsi" w:hAnsiTheme="minorHAnsi"/>
        </w:rPr>
        <w:t>Otoyo</w:t>
      </w:r>
      <w:proofErr w:type="spellEnd"/>
      <w:r w:rsidRPr="00346C49">
        <w:rPr>
          <w:rFonts w:asciiTheme="minorHAnsi" w:hAnsiTheme="minorHAnsi"/>
        </w:rPr>
        <w:t xml:space="preserve"> ONDIEKI </w:t>
      </w:r>
      <w:r>
        <w:rPr>
          <w:rFonts w:asciiTheme="minorHAnsi" w:hAnsiTheme="minorHAnsi"/>
        </w:rPr>
        <w:t>(</w:t>
      </w:r>
      <w:r w:rsidRPr="00346C49">
        <w:rPr>
          <w:rFonts w:asciiTheme="minorHAnsi" w:hAnsiTheme="minorHAnsi"/>
        </w:rPr>
        <w:t>Keny</w:t>
      </w:r>
      <w:r>
        <w:rPr>
          <w:rFonts w:asciiTheme="minorHAnsi" w:hAnsiTheme="minorHAnsi"/>
        </w:rPr>
        <w:t>a),</w:t>
      </w:r>
    </w:p>
    <w:p w:rsidR="003C28DD" w:rsidRPr="003C28DD" w:rsidRDefault="003C28DD" w:rsidP="003C28DD"/>
    <w:sectPr w:rsidR="003C28DD" w:rsidRPr="003C28DD" w:rsidSect="00B1726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90FA5"/>
    <w:multiLevelType w:val="hybridMultilevel"/>
    <w:tmpl w:val="B29C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A1462D"/>
    <w:multiLevelType w:val="hybridMultilevel"/>
    <w:tmpl w:val="FDDEE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7DF3"/>
    <w:rsid w:val="00086B85"/>
    <w:rsid w:val="001B52F4"/>
    <w:rsid w:val="00221668"/>
    <w:rsid w:val="002749D1"/>
    <w:rsid w:val="00287F26"/>
    <w:rsid w:val="002F4E14"/>
    <w:rsid w:val="003970D1"/>
    <w:rsid w:val="003C28DD"/>
    <w:rsid w:val="004A7963"/>
    <w:rsid w:val="0061151B"/>
    <w:rsid w:val="00626D13"/>
    <w:rsid w:val="006A7DF3"/>
    <w:rsid w:val="006B1D51"/>
    <w:rsid w:val="006D162A"/>
    <w:rsid w:val="007C7816"/>
    <w:rsid w:val="00855C99"/>
    <w:rsid w:val="008D2AF4"/>
    <w:rsid w:val="008E674C"/>
    <w:rsid w:val="00947740"/>
    <w:rsid w:val="0098379B"/>
    <w:rsid w:val="00A35219"/>
    <w:rsid w:val="00AE39AA"/>
    <w:rsid w:val="00B1726C"/>
    <w:rsid w:val="00D96ACE"/>
    <w:rsid w:val="00E00611"/>
    <w:rsid w:val="00E00B1B"/>
    <w:rsid w:val="00E36BDE"/>
    <w:rsid w:val="00F34C7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26C"/>
  </w:style>
  <w:style w:type="paragraph" w:styleId="Heading1">
    <w:name w:val="heading 1"/>
    <w:basedOn w:val="Normal"/>
    <w:next w:val="Normal"/>
    <w:link w:val="Heading1Char"/>
    <w:uiPriority w:val="9"/>
    <w:qFormat/>
    <w:rsid w:val="00E00B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0B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7D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7DF3"/>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6A7DF3"/>
    <w:rPr>
      <w:i/>
      <w:iCs/>
      <w:color w:val="808080" w:themeColor="text1" w:themeTint="7F"/>
    </w:rPr>
  </w:style>
  <w:style w:type="paragraph" w:styleId="Subtitle">
    <w:name w:val="Subtitle"/>
    <w:basedOn w:val="Normal"/>
    <w:next w:val="Normal"/>
    <w:link w:val="SubtitleChar"/>
    <w:uiPriority w:val="11"/>
    <w:qFormat/>
    <w:rsid w:val="006A7D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A7DF3"/>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E00B1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0B1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A79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A7963"/>
    <w:pPr>
      <w:ind w:left="720"/>
      <w:contextualSpacing/>
    </w:pPr>
  </w:style>
  <w:style w:type="paragraph" w:styleId="NoSpacing">
    <w:name w:val="No Spacing"/>
    <w:link w:val="NoSpacingChar"/>
    <w:uiPriority w:val="1"/>
    <w:qFormat/>
    <w:rsid w:val="003C28DD"/>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3C28DD"/>
    <w:rPr>
      <w:rFonts w:ascii="Calibri" w:eastAsia="Times New Roman" w:hAnsi="Calibri" w:cs="Times New Roman"/>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6</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ACHIENG</dc:creator>
  <cp:lastModifiedBy>ACHIENG</cp:lastModifiedBy>
  <cp:revision>4</cp:revision>
  <dcterms:created xsi:type="dcterms:W3CDTF">2014-09-21T06:02:00Z</dcterms:created>
  <dcterms:modified xsi:type="dcterms:W3CDTF">2014-09-21T10:53:00Z</dcterms:modified>
</cp:coreProperties>
</file>